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A9EF57" w14:textId="77777777" w:rsidR="00A2134D" w:rsidRPr="00A2134D" w:rsidRDefault="00A2134D" w:rsidP="00A2134D">
      <w:pPr>
        <w:spacing w:after="0"/>
        <w:rPr>
          <w:rFonts w:ascii="Times New Roman" w:eastAsia="Times New Roman" w:hAnsi="Times New Roman" w:cs="Times New Roman"/>
          <w:sz w:val="24"/>
          <w:lang w:eastAsia="en-GB"/>
        </w:rPr>
        <w:sectPr w:rsidR="00A2134D" w:rsidRPr="00A2134D" w:rsidSect="00A2134D">
          <w:headerReference w:type="default" r:id="rId8"/>
          <w:footerReference w:type="default" r:id="rId9"/>
          <w:pgSz w:w="11900" w:h="16840"/>
          <w:pgMar w:top="2835" w:right="680" w:bottom="1985" w:left="680" w:header="680" w:footer="397" w:gutter="0"/>
          <w:cols w:space="720"/>
          <w:docGrid w:linePitch="360"/>
        </w:sectPr>
      </w:pPr>
      <w:r w:rsidRPr="00A2134D">
        <w:rPr>
          <w:rFonts w:ascii="Times New Roman" w:eastAsia="Times New Roman" w:hAnsi="Times New Roman" w:cs="Times New Roman"/>
          <w:noProof/>
          <w:sz w:val="24"/>
          <w:lang w:val="en-US" w:eastAsia="en-GB"/>
        </w:rPr>
        <mc:AlternateContent>
          <mc:Choice Requires="wps">
            <w:drawing>
              <wp:anchor distT="0" distB="0" distL="114300" distR="114300" simplePos="0" relativeHeight="251674624" behindDoc="0" locked="0" layoutInCell="1" allowOverlap="1" wp14:anchorId="1B76E7E3" wp14:editId="3BAAADF5">
                <wp:simplePos x="0" y="0"/>
                <wp:positionH relativeFrom="page">
                  <wp:posOffset>431800</wp:posOffset>
                </wp:positionH>
                <wp:positionV relativeFrom="page">
                  <wp:posOffset>2709333</wp:posOffset>
                </wp:positionV>
                <wp:extent cx="6738730" cy="4191000"/>
                <wp:effectExtent l="0" t="0" r="5080" b="0"/>
                <wp:wrapTight wrapText="bothSides">
                  <wp:wrapPolygon edited="0">
                    <wp:start x="0" y="0"/>
                    <wp:lineTo x="0" y="21535"/>
                    <wp:lineTo x="21576" y="21535"/>
                    <wp:lineTo x="21576" y="0"/>
                    <wp:lineTo x="0" y="0"/>
                  </wp:wrapPolygon>
                </wp:wrapTight>
                <wp:docPr id="5"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738730" cy="419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9FC9F8" w14:textId="77777777" w:rsidR="00A2134D" w:rsidRDefault="00A2134D" w:rsidP="00A2134D">
                            <w:pPr>
                              <w:pStyle w:val="1ConvexHeadlineTitle"/>
                            </w:pPr>
                            <w:r w:rsidRPr="00164D63">
                              <w:t xml:space="preserve">CONVEX </w:t>
                            </w:r>
                            <w:r>
                              <w:t>INSURANCE UK</w:t>
                            </w:r>
                            <w:r w:rsidRPr="00164D63">
                              <w:t xml:space="preserve"> LIMITED </w:t>
                            </w:r>
                          </w:p>
                          <w:p w14:paraId="6D140DF3" w14:textId="77777777" w:rsidR="00A2134D" w:rsidRDefault="00A2134D" w:rsidP="00A2134D">
                            <w:pPr>
                              <w:pStyle w:val="1ConvexHeadlineTitle"/>
                              <w:rPr>
                                <w:sz w:val="52"/>
                                <w:szCs w:val="52"/>
                              </w:rPr>
                            </w:pPr>
                            <w:r>
                              <w:rPr>
                                <w:sz w:val="52"/>
                                <w:szCs w:val="52"/>
                              </w:rPr>
                              <w:t>Product Oversight and Governance</w:t>
                            </w:r>
                          </w:p>
                          <w:p w14:paraId="356821D5" w14:textId="77777777" w:rsidR="00A2134D" w:rsidRDefault="00A2134D" w:rsidP="00A2134D">
                            <w:pPr>
                              <w:pStyle w:val="1ConvexHeadlineTitle"/>
                              <w:rPr>
                                <w:sz w:val="40"/>
                                <w:szCs w:val="40"/>
                              </w:rPr>
                            </w:pPr>
                          </w:p>
                          <w:p w14:paraId="76E6BA46" w14:textId="77777777" w:rsidR="00A2134D" w:rsidRDefault="00A2134D" w:rsidP="00A2134D">
                            <w:pPr>
                              <w:pStyle w:val="1ConvexHeadlineTitle"/>
                              <w:rPr>
                                <w:sz w:val="40"/>
                                <w:szCs w:val="40"/>
                              </w:rPr>
                            </w:pPr>
                          </w:p>
                          <w:p w14:paraId="0C84FDBA" w14:textId="77777777" w:rsidR="00A2134D" w:rsidRPr="00AA7699" w:rsidRDefault="00A2134D" w:rsidP="00A2134D">
                            <w:pPr>
                              <w:pStyle w:val="1ConvexHeadlineTitle"/>
                              <w:rPr>
                                <w:sz w:val="52"/>
                                <w:szCs w:val="52"/>
                              </w:rPr>
                            </w:pPr>
                            <w:r w:rsidRPr="00AA7699">
                              <w:rPr>
                                <w:sz w:val="52"/>
                                <w:szCs w:val="52"/>
                              </w:rPr>
                              <w:t>PRODUCT PASSPORT</w:t>
                            </w:r>
                          </w:p>
                          <w:p w14:paraId="65068A6E" w14:textId="77777777" w:rsidR="00A2134D" w:rsidRDefault="00A2134D" w:rsidP="00A2134D">
                            <w:pPr>
                              <w:pStyle w:val="1ConvexHeadlineTitle"/>
                              <w:rPr>
                                <w:sz w:val="40"/>
                                <w:szCs w:val="40"/>
                              </w:rPr>
                            </w:pPr>
                            <w:r w:rsidRPr="0051303F">
                              <w:rPr>
                                <w:sz w:val="40"/>
                                <w:szCs w:val="40"/>
                              </w:rPr>
                              <w:t>CVX-CAS-00</w:t>
                            </w:r>
                            <w:r>
                              <w:rPr>
                                <w:sz w:val="40"/>
                                <w:szCs w:val="40"/>
                              </w:rPr>
                              <w:t>4</w:t>
                            </w:r>
                            <w:r w:rsidRPr="0051303F">
                              <w:rPr>
                                <w:sz w:val="40"/>
                                <w:szCs w:val="40"/>
                              </w:rPr>
                              <w:t>-0</w:t>
                            </w:r>
                            <w:r>
                              <w:rPr>
                                <w:sz w:val="40"/>
                                <w:szCs w:val="40"/>
                              </w:rPr>
                              <w:t>225</w:t>
                            </w:r>
                          </w:p>
                          <w:p w14:paraId="46F99133" w14:textId="77777777" w:rsidR="00A2134D" w:rsidRPr="00FD591E" w:rsidRDefault="00A2134D" w:rsidP="00A2134D">
                            <w:pPr>
                              <w:pStyle w:val="1ConvexHeadlineTitle"/>
                              <w:rPr>
                                <w:sz w:val="40"/>
                                <w:szCs w:val="40"/>
                              </w:rPr>
                            </w:pPr>
                            <w:r>
                              <w:rPr>
                                <w:sz w:val="40"/>
                                <w:szCs w:val="40"/>
                              </w:rPr>
                              <w:t xml:space="preserve">Contractors </w:t>
                            </w:r>
                            <w:r w:rsidRPr="0051303F">
                              <w:rPr>
                                <w:sz w:val="40"/>
                                <w:szCs w:val="40"/>
                              </w:rPr>
                              <w:t>Combined Liability Policy (UK)</w:t>
                            </w:r>
                          </w:p>
                          <w:p w14:paraId="6F44394D" w14:textId="77777777" w:rsidR="00A2134D" w:rsidRPr="00164D63" w:rsidRDefault="00A2134D" w:rsidP="00A2134D">
                            <w:pPr>
                              <w:pStyle w:val="1ConvexHeadlineTitle"/>
                            </w:pPr>
                          </w:p>
                          <w:p w14:paraId="27572EC4" w14:textId="77777777" w:rsidR="00A2134D" w:rsidRPr="00164D63" w:rsidRDefault="00A2134D" w:rsidP="00A2134D">
                            <w:pPr>
                              <w:pStyle w:val="1ConvexHeadlineTitle"/>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76E7E3" id="_x0000_t202" coordsize="21600,21600" o:spt="202" path="m,l,21600r21600,l21600,xe">
                <v:stroke joinstyle="miter"/>
                <v:path gradientshapeok="t" o:connecttype="rect"/>
              </v:shapetype>
              <v:shape id="Text Box 4" o:spid="_x0000_s1026" type="#_x0000_t202" style="position:absolute;margin-left:34pt;margin-top:213.35pt;width:530.6pt;height:330pt;z-index:2516746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" filled="f" stroked="f">
                <v:path arrowok="t"/>
                <v:textbox inset="0,0,0,0">
                  <w:txbxContent>
                    <w:p w14:paraId="609FC9F8" w14:textId="77777777" w:rsidR="00A2134D" w:rsidRDefault="00A2134D" w:rsidP="00A2134D">
                      <w:pPr>
                        <w:pStyle w:val="1ConvexHeadlineTitle"/>
                      </w:pPr>
                      <w:r w:rsidRPr="00164D63">
                        <w:t xml:space="preserve">CONVEX </w:t>
                      </w:r>
                      <w:r>
                        <w:t>INSURANCE UK</w:t>
                      </w:r>
                      <w:r w:rsidRPr="00164D63">
                        <w:t xml:space="preserve"> LIMITED </w:t>
                      </w:r>
                    </w:p>
                    <w:p w14:paraId="6D140DF3" w14:textId="77777777" w:rsidR="00A2134D" w:rsidRDefault="00A2134D" w:rsidP="00A2134D">
                      <w:pPr>
                        <w:pStyle w:val="1ConvexHeadlineTitle"/>
                        <w:rPr>
                          <w:sz w:val="52"/>
                          <w:szCs w:val="52"/>
                        </w:rPr>
                      </w:pPr>
                      <w:r>
                        <w:rPr>
                          <w:sz w:val="52"/>
                          <w:szCs w:val="52"/>
                        </w:rPr>
                        <w:t>Product Oversight and Governance</w:t>
                      </w:r>
                    </w:p>
                    <w:p w14:paraId="356821D5" w14:textId="77777777" w:rsidR="00A2134D" w:rsidRDefault="00A2134D" w:rsidP="00A2134D">
                      <w:pPr>
                        <w:pStyle w:val="1ConvexHeadlineTitle"/>
                        <w:rPr>
                          <w:sz w:val="40"/>
                          <w:szCs w:val="40"/>
                        </w:rPr>
                      </w:pPr>
                    </w:p>
                    <w:p w14:paraId="76E6BA46" w14:textId="77777777" w:rsidR="00A2134D" w:rsidRDefault="00A2134D" w:rsidP="00A2134D">
                      <w:pPr>
                        <w:pStyle w:val="1ConvexHeadlineTitle"/>
                        <w:rPr>
                          <w:sz w:val="40"/>
                          <w:szCs w:val="40"/>
                        </w:rPr>
                      </w:pPr>
                    </w:p>
                    <w:p w14:paraId="0C84FDBA" w14:textId="77777777" w:rsidR="00A2134D" w:rsidRPr="00AA7699" w:rsidRDefault="00A2134D" w:rsidP="00A2134D">
                      <w:pPr>
                        <w:pStyle w:val="1ConvexHeadlineTitle"/>
                        <w:rPr>
                          <w:sz w:val="52"/>
                          <w:szCs w:val="52"/>
                        </w:rPr>
                      </w:pPr>
                      <w:r w:rsidRPr="00AA7699">
                        <w:rPr>
                          <w:sz w:val="52"/>
                          <w:szCs w:val="52"/>
                        </w:rPr>
                        <w:t>PRODUCT PASSPORT</w:t>
                      </w:r>
                    </w:p>
                    <w:p w14:paraId="65068A6E" w14:textId="77777777" w:rsidR="00A2134D" w:rsidRDefault="00A2134D" w:rsidP="00A2134D">
                      <w:pPr>
                        <w:pStyle w:val="1ConvexHeadlineTitle"/>
                        <w:rPr>
                          <w:sz w:val="40"/>
                          <w:szCs w:val="40"/>
                        </w:rPr>
                      </w:pPr>
                      <w:r w:rsidRPr="0051303F">
                        <w:rPr>
                          <w:sz w:val="40"/>
                          <w:szCs w:val="40"/>
                        </w:rPr>
                        <w:t>CVX-CAS-00</w:t>
                      </w:r>
                      <w:r>
                        <w:rPr>
                          <w:sz w:val="40"/>
                          <w:szCs w:val="40"/>
                        </w:rPr>
                        <w:t>4</w:t>
                      </w:r>
                      <w:r w:rsidRPr="0051303F">
                        <w:rPr>
                          <w:sz w:val="40"/>
                          <w:szCs w:val="40"/>
                        </w:rPr>
                        <w:t>-0</w:t>
                      </w:r>
                      <w:r>
                        <w:rPr>
                          <w:sz w:val="40"/>
                          <w:szCs w:val="40"/>
                        </w:rPr>
                        <w:t>225</w:t>
                      </w:r>
                    </w:p>
                    <w:p w14:paraId="46F99133" w14:textId="77777777" w:rsidR="00A2134D" w:rsidRPr="00FD591E" w:rsidRDefault="00A2134D" w:rsidP="00A2134D">
                      <w:pPr>
                        <w:pStyle w:val="1ConvexHeadlineTitle"/>
                        <w:rPr>
                          <w:sz w:val="40"/>
                          <w:szCs w:val="40"/>
                        </w:rPr>
                      </w:pPr>
                      <w:r>
                        <w:rPr>
                          <w:sz w:val="40"/>
                          <w:szCs w:val="40"/>
                        </w:rPr>
                        <w:t xml:space="preserve">Contractors </w:t>
                      </w:r>
                      <w:r w:rsidRPr="0051303F">
                        <w:rPr>
                          <w:sz w:val="40"/>
                          <w:szCs w:val="40"/>
                        </w:rPr>
                        <w:t>Combined Liability Policy (UK)</w:t>
                      </w:r>
                    </w:p>
                    <w:p w14:paraId="6F44394D" w14:textId="77777777" w:rsidR="00A2134D" w:rsidRPr="00164D63" w:rsidRDefault="00A2134D" w:rsidP="00A2134D">
                      <w:pPr>
                        <w:pStyle w:val="1ConvexHeadlineTitle"/>
                      </w:pPr>
                    </w:p>
                    <w:p w14:paraId="27572EC4" w14:textId="77777777" w:rsidR="00A2134D" w:rsidRPr="00164D63" w:rsidRDefault="00A2134D" w:rsidP="00A2134D">
                      <w:pPr>
                        <w:pStyle w:val="1ConvexHeadlineTitle"/>
                      </w:pPr>
                    </w:p>
                  </w:txbxContent>
                </v:textbox>
                <w10:wrap type="tight" anchorx="page" anchory="page"/>
              </v:shape>
            </w:pict>
          </mc:Fallback>
        </mc:AlternateContent>
      </w:r>
    </w:p>
    <w:p w14:paraId="504FCA26" w14:textId="77777777" w:rsidR="00A2134D" w:rsidRPr="00A2134D" w:rsidRDefault="00A2134D" w:rsidP="00A2134D">
      <w:pPr>
        <w:spacing w:after="0"/>
        <w:ind w:firstLine="720"/>
        <w:rPr>
          <w:rFonts w:ascii="Arial" w:eastAsia="Times New Roman" w:hAnsi="Arial" w:cs="Arial"/>
          <w:b/>
          <w:bCs/>
          <w:color w:val="4D7F71"/>
          <w:sz w:val="36"/>
          <w:szCs w:val="36"/>
          <w:lang w:eastAsia="en-GB"/>
        </w:rPr>
      </w:pPr>
    </w:p>
    <w:p w14:paraId="200B0313" w14:textId="77777777" w:rsidR="00A2134D" w:rsidRPr="00A2134D" w:rsidRDefault="00A2134D" w:rsidP="00A2134D">
      <w:pPr>
        <w:numPr>
          <w:ilvl w:val="0"/>
          <w:numId w:val="40"/>
        </w:numPr>
        <w:spacing w:after="0"/>
        <w:contextualSpacing/>
        <w:rPr>
          <w:rFonts w:ascii="Arial" w:eastAsia="Times New Roman" w:hAnsi="Arial" w:cs="Arial"/>
          <w:b/>
          <w:bCs/>
          <w:color w:val="4D7F71"/>
          <w:sz w:val="36"/>
          <w:szCs w:val="36"/>
          <w:lang w:eastAsia="en-GB"/>
        </w:rPr>
      </w:pPr>
      <w:r w:rsidRPr="00A2134D">
        <w:rPr>
          <w:rFonts w:ascii="Arial" w:eastAsia="Times New Roman" w:hAnsi="Arial" w:cs="Arial"/>
          <w:b/>
          <w:bCs/>
          <w:color w:val="4D7F71"/>
          <w:sz w:val="36"/>
          <w:szCs w:val="36"/>
          <w:lang w:eastAsia="en-GB"/>
        </w:rPr>
        <w:t xml:space="preserve"> Summary</w:t>
      </w:r>
    </w:p>
    <w:p w14:paraId="6181BFA0" w14:textId="77777777" w:rsidR="00A2134D" w:rsidRPr="00A2134D" w:rsidRDefault="00A2134D" w:rsidP="00A2134D">
      <w:pPr>
        <w:spacing w:after="0"/>
        <w:rPr>
          <w:rFonts w:ascii="Arial" w:eastAsia="Times New Roman" w:hAnsi="Arial" w:cs="Arial"/>
          <w:sz w:val="24"/>
          <w:lang w:eastAsia="en-GB"/>
        </w:rPr>
      </w:pPr>
    </w:p>
    <w:p w14:paraId="49A14127"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As a manufacturer of insurance products, we are required to provide you with information to enable the compliant sale of our products. The information contained in this document should support you in:</w:t>
      </w:r>
    </w:p>
    <w:p w14:paraId="4A4D61D0" w14:textId="77777777" w:rsidR="00A2134D" w:rsidRPr="00A2134D" w:rsidRDefault="00A2134D" w:rsidP="00A2134D">
      <w:pPr>
        <w:spacing w:after="0" w:line="276" w:lineRule="auto"/>
        <w:rPr>
          <w:rFonts w:ascii="Arial" w:eastAsia="Times New Roman" w:hAnsi="Arial" w:cs="Arial"/>
          <w:sz w:val="22"/>
          <w:szCs w:val="22"/>
          <w:lang w:eastAsia="en-GB"/>
        </w:rPr>
      </w:pPr>
    </w:p>
    <w:p w14:paraId="15AE50F1" w14:textId="77777777" w:rsidR="00A2134D" w:rsidRPr="00A2134D" w:rsidRDefault="00A2134D" w:rsidP="00A2134D">
      <w:pPr>
        <w:numPr>
          <w:ilvl w:val="0"/>
          <w:numId w:val="38"/>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Understanding the Convex product being distributed</w:t>
      </w:r>
    </w:p>
    <w:p w14:paraId="5B63E200" w14:textId="77777777" w:rsidR="00A2134D" w:rsidRPr="00A2134D" w:rsidRDefault="00A2134D" w:rsidP="00A2134D">
      <w:pPr>
        <w:numPr>
          <w:ilvl w:val="0"/>
          <w:numId w:val="38"/>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Identifying the appropriate target market</w:t>
      </w:r>
    </w:p>
    <w:p w14:paraId="21E1F989" w14:textId="77777777" w:rsidR="00A2134D" w:rsidRPr="00A2134D" w:rsidRDefault="00A2134D" w:rsidP="00A2134D">
      <w:pPr>
        <w:numPr>
          <w:ilvl w:val="0"/>
          <w:numId w:val="38"/>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Observing requirements of the Insurance Distribution Directive</w:t>
      </w:r>
    </w:p>
    <w:p w14:paraId="752EC6F2" w14:textId="77777777" w:rsidR="00A2134D" w:rsidRPr="00A2134D" w:rsidRDefault="00A2134D" w:rsidP="00A2134D">
      <w:pPr>
        <w:numPr>
          <w:ilvl w:val="0"/>
          <w:numId w:val="38"/>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Safeguarding the best interests of the target market</w:t>
      </w:r>
    </w:p>
    <w:p w14:paraId="1E932B60" w14:textId="77777777" w:rsidR="00A2134D" w:rsidRPr="00A2134D" w:rsidRDefault="00A2134D" w:rsidP="00A2134D">
      <w:pPr>
        <w:spacing w:after="0" w:line="276" w:lineRule="auto"/>
        <w:rPr>
          <w:rFonts w:ascii="Arial" w:eastAsia="Times New Roman" w:hAnsi="Arial" w:cs="Arial"/>
          <w:sz w:val="22"/>
          <w:szCs w:val="22"/>
          <w:lang w:eastAsia="en-GB"/>
        </w:rPr>
      </w:pPr>
    </w:p>
    <w:p w14:paraId="0EF3C64A"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We further outline the requirements of product oversight &amp; governance (POG) rules and the respective roles and responsibilities of manufacturers and distributors. </w:t>
      </w:r>
    </w:p>
    <w:p w14:paraId="390AB224" w14:textId="77777777" w:rsidR="00A2134D" w:rsidRPr="00A2134D" w:rsidRDefault="00A2134D" w:rsidP="00A2134D">
      <w:pPr>
        <w:spacing w:after="0"/>
        <w:rPr>
          <w:rFonts w:ascii="Arial" w:eastAsia="Times New Roman" w:hAnsi="Arial" w:cs="Arial"/>
          <w:b/>
          <w:bCs/>
          <w:color w:val="4D7F71"/>
          <w:sz w:val="22"/>
          <w:szCs w:val="22"/>
          <w:lang w:eastAsia="en-GB"/>
        </w:rPr>
      </w:pPr>
    </w:p>
    <w:p w14:paraId="6A60DDD3" w14:textId="77777777" w:rsidR="00A2134D" w:rsidRPr="00A2134D" w:rsidRDefault="00A2134D" w:rsidP="00A2134D">
      <w:pPr>
        <w:numPr>
          <w:ilvl w:val="0"/>
          <w:numId w:val="40"/>
        </w:numPr>
        <w:spacing w:after="0"/>
        <w:contextualSpacing/>
        <w:rPr>
          <w:rFonts w:ascii="Arial" w:eastAsia="Times New Roman" w:hAnsi="Arial" w:cs="Arial"/>
          <w:b/>
          <w:bCs/>
          <w:color w:val="4D7F71"/>
          <w:sz w:val="36"/>
          <w:szCs w:val="36"/>
          <w:lang w:eastAsia="en-GB"/>
        </w:rPr>
      </w:pPr>
      <w:r w:rsidRPr="00A2134D">
        <w:rPr>
          <w:rFonts w:ascii="Arial" w:eastAsia="Times New Roman" w:hAnsi="Arial" w:cs="Arial"/>
          <w:b/>
          <w:bCs/>
          <w:color w:val="4D7F71"/>
          <w:sz w:val="36"/>
          <w:szCs w:val="36"/>
          <w:lang w:eastAsia="en-GB"/>
        </w:rPr>
        <w:t xml:space="preserve"> Product Oversight and Governance </w:t>
      </w:r>
    </w:p>
    <w:p w14:paraId="212AE42F" w14:textId="77777777" w:rsidR="00A2134D" w:rsidRPr="00A2134D" w:rsidRDefault="00A2134D" w:rsidP="00A2134D">
      <w:pPr>
        <w:spacing w:after="0"/>
        <w:rPr>
          <w:rFonts w:ascii="Arial" w:eastAsia="Times New Roman" w:hAnsi="Arial" w:cs="Arial"/>
          <w:sz w:val="24"/>
          <w:lang w:eastAsia="en-GB"/>
        </w:rPr>
      </w:pPr>
    </w:p>
    <w:p w14:paraId="0580B492"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Product Oversight and Governance (“POG”) refers to the systems and controls firms have in place to design, approve, market, and manage products throughout the products’ lifecycle to ensure they meet legal/regulatory requirements and deliver fair value to customers. </w:t>
      </w:r>
    </w:p>
    <w:p w14:paraId="359C022E" w14:textId="77777777" w:rsidR="00A2134D" w:rsidRPr="00A2134D" w:rsidRDefault="00A2134D" w:rsidP="00A2134D">
      <w:pPr>
        <w:spacing w:after="0" w:line="276" w:lineRule="auto"/>
        <w:jc w:val="both"/>
        <w:rPr>
          <w:rFonts w:ascii="Arial" w:eastAsia="Times New Roman" w:hAnsi="Arial" w:cs="Arial"/>
          <w:sz w:val="22"/>
          <w:szCs w:val="22"/>
          <w:lang w:eastAsia="en-GB"/>
        </w:rPr>
      </w:pPr>
    </w:p>
    <w:p w14:paraId="3D0C80F1"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POG is principally governed by the Insurance Distribution Directive (EU) 2017/2358. The Directive applies to all firms that manufacture and distribute insurance products in the UK/</w:t>
      </w:r>
      <w:proofErr w:type="gramStart"/>
      <w:r w:rsidRPr="00A2134D">
        <w:rPr>
          <w:rFonts w:ascii="Arial" w:eastAsia="Times New Roman" w:hAnsi="Arial" w:cs="Arial"/>
          <w:sz w:val="22"/>
          <w:szCs w:val="22"/>
          <w:lang w:eastAsia="en-GB"/>
        </w:rPr>
        <w:t>EU,</w:t>
      </w:r>
      <w:proofErr w:type="gramEnd"/>
      <w:r w:rsidRPr="00A2134D">
        <w:rPr>
          <w:rFonts w:ascii="Arial" w:eastAsia="Times New Roman" w:hAnsi="Arial" w:cs="Arial"/>
          <w:sz w:val="22"/>
          <w:szCs w:val="22"/>
          <w:lang w:eastAsia="en-GB"/>
        </w:rPr>
        <w:t xml:space="preserve"> however, care should be taken to </w:t>
      </w:r>
      <w:r w:rsidRPr="00A2134D">
        <w:rPr>
          <w:rFonts w:ascii="Arial" w:eastAsia="Times New Roman" w:hAnsi="Arial" w:cs="Arial"/>
          <w:color w:val="000000"/>
          <w:sz w:val="22"/>
          <w:szCs w:val="22"/>
          <w:lang w:eastAsia="en-GB"/>
        </w:rPr>
        <w:t xml:space="preserve">identify any additional local rules that may apply on a state level. The information in this guide is limited to the requirements of the IDD and UK FCA product governance rules (PROD 4). </w:t>
      </w:r>
    </w:p>
    <w:p w14:paraId="23BB7C69" w14:textId="77777777" w:rsidR="00A2134D" w:rsidRPr="00A2134D" w:rsidRDefault="00A2134D" w:rsidP="00A2134D">
      <w:pPr>
        <w:spacing w:after="0"/>
        <w:rPr>
          <w:rFonts w:ascii="Arial" w:eastAsia="Times New Roman" w:hAnsi="Arial" w:cs="Arial"/>
          <w:b/>
          <w:bCs/>
          <w:color w:val="4D7F71"/>
          <w:sz w:val="22"/>
          <w:szCs w:val="22"/>
          <w:lang w:eastAsia="en-GB"/>
        </w:rPr>
      </w:pPr>
    </w:p>
    <w:p w14:paraId="6AA0A055" w14:textId="77777777" w:rsidR="00A2134D" w:rsidRPr="00A2134D" w:rsidRDefault="00A2134D" w:rsidP="00A2134D">
      <w:pPr>
        <w:numPr>
          <w:ilvl w:val="0"/>
          <w:numId w:val="40"/>
        </w:numPr>
        <w:spacing w:after="0"/>
        <w:contextualSpacing/>
        <w:rPr>
          <w:rFonts w:ascii="Arial" w:eastAsia="Times New Roman" w:hAnsi="Arial" w:cs="Arial"/>
          <w:b/>
          <w:bCs/>
          <w:color w:val="4D7F71"/>
          <w:sz w:val="36"/>
          <w:szCs w:val="36"/>
          <w:lang w:eastAsia="en-GB"/>
        </w:rPr>
      </w:pPr>
      <w:r w:rsidRPr="00A2134D">
        <w:rPr>
          <w:rFonts w:ascii="Arial" w:eastAsia="Times New Roman" w:hAnsi="Arial" w:cs="Arial"/>
          <w:b/>
          <w:bCs/>
          <w:color w:val="4D7F71"/>
          <w:sz w:val="36"/>
          <w:szCs w:val="36"/>
          <w:lang w:eastAsia="en-GB"/>
        </w:rPr>
        <w:t xml:space="preserve"> POG Roles and Responsibilities </w:t>
      </w:r>
    </w:p>
    <w:p w14:paraId="2F33D511" w14:textId="77777777" w:rsidR="00A2134D" w:rsidRPr="00A2134D" w:rsidRDefault="00A2134D" w:rsidP="00A2134D">
      <w:pPr>
        <w:spacing w:after="0"/>
        <w:rPr>
          <w:rFonts w:ascii="Arial" w:eastAsia="Times New Roman" w:hAnsi="Arial" w:cs="Arial"/>
          <w:b/>
          <w:bCs/>
          <w:color w:val="4D7F71"/>
          <w:sz w:val="24"/>
          <w:lang w:eastAsia="en-GB"/>
        </w:rPr>
      </w:pPr>
    </w:p>
    <w:p w14:paraId="7281AE23"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Maintaining effective oversight and governance arrangements is the responsibility of both ‘Manufacturers’ and ‘Distributors’. A Manufacturer is “a firm which creates, develops, designs and/or underwrites a contract of insurance”, whereas a Distributor is anyone engaged in advising on or proposing contracts of insurance. </w:t>
      </w:r>
    </w:p>
    <w:p w14:paraId="7402610F" w14:textId="77777777" w:rsidR="00A2134D" w:rsidRPr="00A2134D" w:rsidRDefault="00A2134D" w:rsidP="00A2134D">
      <w:pPr>
        <w:spacing w:after="0" w:line="276" w:lineRule="auto"/>
        <w:jc w:val="both"/>
        <w:rPr>
          <w:rFonts w:ascii="Arial" w:eastAsia="Times New Roman" w:hAnsi="Arial" w:cs="Arial"/>
          <w:sz w:val="22"/>
          <w:szCs w:val="22"/>
          <w:lang w:eastAsia="en-GB"/>
        </w:rPr>
      </w:pPr>
    </w:p>
    <w:p w14:paraId="1A526F51" w14:textId="77777777" w:rsidR="00A2134D" w:rsidRPr="00A2134D" w:rsidRDefault="00A2134D" w:rsidP="00A2134D">
      <w:pPr>
        <w:spacing w:after="0" w:line="276" w:lineRule="auto"/>
        <w:jc w:val="both"/>
        <w:rPr>
          <w:rFonts w:ascii="Arial" w:eastAsia="Times New Roman" w:hAnsi="Arial" w:cs="Arial"/>
          <w:color w:val="000000"/>
          <w:sz w:val="22"/>
          <w:szCs w:val="22"/>
          <w:lang w:eastAsia="en-GB"/>
        </w:rPr>
      </w:pPr>
      <w:r w:rsidRPr="00A2134D">
        <w:rPr>
          <w:rFonts w:ascii="Arial" w:eastAsia="Times New Roman" w:hAnsi="Arial" w:cs="Arial"/>
          <w:sz w:val="22"/>
          <w:szCs w:val="22"/>
          <w:lang w:eastAsia="en-GB"/>
        </w:rPr>
        <w:t xml:space="preserve">As a carrier, Convex is deemed a manufacturer, however, in some instances, there will be co-manufacture between Convex and another insurer or distributor. </w:t>
      </w:r>
      <w:r w:rsidRPr="00A2134D">
        <w:rPr>
          <w:rFonts w:ascii="Arial" w:eastAsia="Times New Roman" w:hAnsi="Arial" w:cs="Arial"/>
          <w:color w:val="000000"/>
          <w:sz w:val="22"/>
          <w:szCs w:val="22"/>
          <w:lang w:eastAsia="en-GB"/>
        </w:rPr>
        <w:t xml:space="preserve">Co-manufacturing occurs when two or more parties have a “decision-making role in determining the essential features and main elements of a product, including coverage, price, costs, risks, target market and compensation/guarantee rights”.  </w:t>
      </w:r>
    </w:p>
    <w:p w14:paraId="67853B6F" w14:textId="77777777" w:rsidR="00A2134D" w:rsidRPr="00A2134D" w:rsidRDefault="00A2134D" w:rsidP="00A2134D">
      <w:pPr>
        <w:spacing w:after="0"/>
        <w:rPr>
          <w:rFonts w:ascii="Arial" w:eastAsia="Times New Roman" w:hAnsi="Arial" w:cs="Arial"/>
          <w:sz w:val="24"/>
          <w:lang w:eastAsia="en-GB"/>
        </w:rPr>
      </w:pPr>
    </w:p>
    <w:p w14:paraId="7D45F653" w14:textId="77777777" w:rsidR="00A2134D" w:rsidRPr="00A2134D" w:rsidRDefault="00A2134D" w:rsidP="00A2134D">
      <w:pPr>
        <w:spacing w:after="0"/>
        <w:rPr>
          <w:rFonts w:ascii="Arial" w:eastAsia="Times New Roman" w:hAnsi="Arial" w:cs="Arial"/>
          <w:b/>
          <w:bCs/>
          <w:color w:val="4D7F71"/>
          <w:sz w:val="24"/>
          <w:lang w:eastAsia="en-GB"/>
        </w:rPr>
      </w:pPr>
      <w:r w:rsidRPr="00A2134D">
        <w:rPr>
          <w:rFonts w:ascii="Arial" w:eastAsia="Times New Roman" w:hAnsi="Arial" w:cs="Arial"/>
          <w:b/>
          <w:bCs/>
          <w:color w:val="4D7F71"/>
          <w:sz w:val="24"/>
          <w:lang w:eastAsia="en-GB"/>
        </w:rPr>
        <w:br w:type="page"/>
      </w:r>
    </w:p>
    <w:p w14:paraId="0007C8AA" w14:textId="77777777" w:rsidR="00A2134D" w:rsidRPr="00A2134D" w:rsidRDefault="00A2134D" w:rsidP="00A2134D">
      <w:pPr>
        <w:spacing w:after="0"/>
        <w:rPr>
          <w:rFonts w:ascii="Arial" w:eastAsia="Times New Roman" w:hAnsi="Arial" w:cs="Arial"/>
          <w:b/>
          <w:bCs/>
          <w:color w:val="4D7F71"/>
          <w:sz w:val="24"/>
          <w:lang w:eastAsia="en-GB"/>
        </w:rPr>
      </w:pPr>
      <w:r w:rsidRPr="00A2134D">
        <w:rPr>
          <w:rFonts w:ascii="Arial" w:eastAsia="Times New Roman" w:hAnsi="Arial" w:cs="Arial"/>
          <w:b/>
          <w:bCs/>
          <w:color w:val="4D7F71"/>
          <w:sz w:val="24"/>
          <w:lang w:eastAsia="en-GB"/>
        </w:rPr>
        <w:lastRenderedPageBreak/>
        <w:t>3.1 Manufacturer’s Responsibilities</w:t>
      </w:r>
    </w:p>
    <w:p w14:paraId="45A9D4A2" w14:textId="77777777" w:rsidR="00A2134D" w:rsidRPr="00A2134D" w:rsidRDefault="00A2134D" w:rsidP="00A2134D">
      <w:pPr>
        <w:spacing w:after="0"/>
        <w:rPr>
          <w:rFonts w:ascii="Arial" w:eastAsia="Times New Roman" w:hAnsi="Arial" w:cs="Arial"/>
          <w:b/>
          <w:bCs/>
          <w:color w:val="000000"/>
          <w:sz w:val="24"/>
          <w:lang w:eastAsia="en-GB"/>
        </w:rPr>
      </w:pPr>
    </w:p>
    <w:p w14:paraId="1F4F3182" w14:textId="77777777" w:rsidR="00A2134D" w:rsidRPr="00A2134D" w:rsidRDefault="00A2134D" w:rsidP="00A2134D">
      <w:pPr>
        <w:spacing w:after="0" w:line="276" w:lineRule="auto"/>
        <w:jc w:val="both"/>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It is the responsibility of (co)manufacturers to furnish distributors with appropriate information to guide the distribution of products. In addition, manufacturers must maintain a product approval process to:</w:t>
      </w:r>
    </w:p>
    <w:p w14:paraId="3C2B037F" w14:textId="77777777" w:rsidR="00A2134D" w:rsidRPr="00A2134D" w:rsidRDefault="00A2134D" w:rsidP="00A2134D">
      <w:pPr>
        <w:spacing w:after="0" w:line="276" w:lineRule="auto"/>
        <w:rPr>
          <w:rFonts w:ascii="Arial" w:eastAsia="Times New Roman" w:hAnsi="Arial" w:cs="Arial"/>
          <w:color w:val="000000"/>
          <w:sz w:val="22"/>
          <w:szCs w:val="22"/>
          <w:lang w:eastAsia="en-GB"/>
        </w:rPr>
      </w:pPr>
    </w:p>
    <w:p w14:paraId="5931EC9D" w14:textId="77777777" w:rsidR="00A2134D" w:rsidRPr="00A2134D" w:rsidRDefault="00A2134D" w:rsidP="00A2134D">
      <w:pPr>
        <w:numPr>
          <w:ilvl w:val="0"/>
          <w:numId w:val="39"/>
        </w:numPr>
        <w:spacing w:after="0" w:line="276" w:lineRule="auto"/>
        <w:contextualSpacing/>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Identify suitable/non suitable target markets for products </w:t>
      </w:r>
    </w:p>
    <w:p w14:paraId="6B4F15D4" w14:textId="77777777" w:rsidR="00A2134D" w:rsidRPr="00A2134D" w:rsidRDefault="00A2134D" w:rsidP="00A2134D">
      <w:pPr>
        <w:numPr>
          <w:ilvl w:val="0"/>
          <w:numId w:val="39"/>
        </w:numPr>
        <w:spacing w:after="0" w:line="276" w:lineRule="auto"/>
        <w:contextualSpacing/>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Conduct product testing </w:t>
      </w:r>
    </w:p>
    <w:p w14:paraId="54055B34" w14:textId="77777777" w:rsidR="00A2134D" w:rsidRPr="00A2134D" w:rsidRDefault="00A2134D" w:rsidP="00A2134D">
      <w:pPr>
        <w:numPr>
          <w:ilvl w:val="0"/>
          <w:numId w:val="39"/>
        </w:numPr>
        <w:spacing w:after="0" w:line="276" w:lineRule="auto"/>
        <w:contextualSpacing/>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Select appropriate distribution channels </w:t>
      </w:r>
    </w:p>
    <w:p w14:paraId="6C88B706" w14:textId="77777777" w:rsidR="00A2134D" w:rsidRPr="00A2134D" w:rsidRDefault="00A2134D" w:rsidP="00A2134D">
      <w:pPr>
        <w:numPr>
          <w:ilvl w:val="0"/>
          <w:numId w:val="39"/>
        </w:numPr>
        <w:spacing w:after="0" w:line="276" w:lineRule="auto"/>
        <w:contextualSpacing/>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Periodically monitor and review products </w:t>
      </w:r>
    </w:p>
    <w:p w14:paraId="53E258EA" w14:textId="77777777" w:rsidR="00A2134D" w:rsidRPr="00A2134D" w:rsidRDefault="00A2134D" w:rsidP="00A2134D">
      <w:pPr>
        <w:numPr>
          <w:ilvl w:val="0"/>
          <w:numId w:val="39"/>
        </w:numPr>
        <w:spacing w:after="0" w:line="276" w:lineRule="auto"/>
        <w:contextualSpacing/>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Develop insurance product documents (IPIDs)</w:t>
      </w:r>
    </w:p>
    <w:p w14:paraId="2D79ECE4" w14:textId="77777777" w:rsidR="00A2134D" w:rsidRPr="00A2134D" w:rsidRDefault="00A2134D" w:rsidP="00A2134D">
      <w:pPr>
        <w:spacing w:after="0" w:line="276" w:lineRule="auto"/>
        <w:rPr>
          <w:rFonts w:ascii="Arial" w:eastAsia="Times New Roman" w:hAnsi="Arial" w:cs="Arial"/>
          <w:color w:val="000000"/>
          <w:sz w:val="22"/>
          <w:szCs w:val="22"/>
          <w:lang w:eastAsia="en-GB"/>
        </w:rPr>
      </w:pPr>
    </w:p>
    <w:p w14:paraId="39819F2D" w14:textId="77777777" w:rsidR="00A2134D" w:rsidRPr="00A2134D" w:rsidRDefault="00A2134D" w:rsidP="00A2134D">
      <w:pPr>
        <w:spacing w:after="0" w:line="276" w:lineRule="auto"/>
        <w:jc w:val="both"/>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The allocation of POG responsibilities between co-manufacturers will be reflected in the IDD endorsement of the Binding Authority Agreement or Slip. </w:t>
      </w:r>
    </w:p>
    <w:p w14:paraId="3CC44B9A" w14:textId="77777777" w:rsidR="00A2134D" w:rsidRPr="00A2134D" w:rsidRDefault="00A2134D" w:rsidP="00A2134D">
      <w:pPr>
        <w:spacing w:after="0" w:line="276" w:lineRule="auto"/>
        <w:jc w:val="both"/>
        <w:rPr>
          <w:rFonts w:ascii="Arial" w:eastAsia="Times New Roman" w:hAnsi="Arial" w:cs="Arial"/>
          <w:color w:val="000000"/>
          <w:sz w:val="22"/>
          <w:szCs w:val="22"/>
          <w:lang w:eastAsia="en-GB"/>
        </w:rPr>
      </w:pPr>
    </w:p>
    <w:p w14:paraId="51952D02" w14:textId="77777777" w:rsidR="00A2134D" w:rsidRPr="00A2134D" w:rsidRDefault="00A2134D" w:rsidP="00A2134D">
      <w:pPr>
        <w:spacing w:after="0" w:line="276" w:lineRule="auto"/>
        <w:jc w:val="both"/>
        <w:rPr>
          <w:rFonts w:ascii="Arial" w:eastAsia="Times New Roman" w:hAnsi="Arial" w:cs="Arial"/>
          <w:color w:val="000000"/>
          <w:sz w:val="22"/>
          <w:szCs w:val="22"/>
          <w:lang w:eastAsia="en-GB"/>
        </w:rPr>
      </w:pPr>
      <w:r w:rsidRPr="00A2134D">
        <w:rPr>
          <w:rFonts w:ascii="Arial" w:eastAsia="Times New Roman" w:hAnsi="Arial" w:cs="Arial"/>
          <w:color w:val="000000"/>
          <w:sz w:val="22"/>
          <w:szCs w:val="22"/>
          <w:lang w:eastAsia="en-GB"/>
        </w:rPr>
        <w:t xml:space="preserve">Manufacturers must also ensure that staff engaged in the development and distribution of products complete a minimum of 15 hours relevant CPD training per annum. </w:t>
      </w:r>
    </w:p>
    <w:p w14:paraId="62EC8C4D" w14:textId="77777777" w:rsidR="00A2134D" w:rsidRPr="00A2134D" w:rsidRDefault="00A2134D" w:rsidP="00A2134D">
      <w:pPr>
        <w:spacing w:after="0"/>
        <w:rPr>
          <w:rFonts w:ascii="Arial" w:eastAsia="Times New Roman" w:hAnsi="Arial" w:cs="Arial"/>
          <w:b/>
          <w:bCs/>
          <w:color w:val="4D7F71"/>
          <w:sz w:val="24"/>
          <w:lang w:eastAsia="en-GB"/>
        </w:rPr>
      </w:pPr>
    </w:p>
    <w:p w14:paraId="27CF595D" w14:textId="77777777" w:rsidR="00A2134D" w:rsidRPr="00A2134D" w:rsidRDefault="00A2134D" w:rsidP="00A2134D">
      <w:pPr>
        <w:spacing w:after="0"/>
        <w:rPr>
          <w:rFonts w:ascii="Arial" w:eastAsia="Times New Roman" w:hAnsi="Arial" w:cs="Arial"/>
          <w:b/>
          <w:bCs/>
          <w:color w:val="4D7F71"/>
          <w:sz w:val="24"/>
          <w:lang w:eastAsia="en-GB"/>
        </w:rPr>
      </w:pPr>
      <w:r w:rsidRPr="00A2134D">
        <w:rPr>
          <w:rFonts w:ascii="Arial" w:eastAsia="Times New Roman" w:hAnsi="Arial" w:cs="Arial"/>
          <w:b/>
          <w:bCs/>
          <w:color w:val="4D7F71"/>
          <w:sz w:val="24"/>
          <w:lang w:eastAsia="en-GB"/>
        </w:rPr>
        <w:t xml:space="preserve">3.2 Distributors Responsibilities </w:t>
      </w:r>
    </w:p>
    <w:p w14:paraId="58A41422" w14:textId="77777777" w:rsidR="00A2134D" w:rsidRPr="00A2134D" w:rsidRDefault="00A2134D" w:rsidP="00A2134D">
      <w:pPr>
        <w:spacing w:after="0"/>
        <w:rPr>
          <w:rFonts w:ascii="Arial" w:eastAsia="Times New Roman" w:hAnsi="Arial" w:cs="Arial"/>
          <w:b/>
          <w:bCs/>
          <w:color w:val="4D7F71"/>
          <w:sz w:val="24"/>
          <w:lang w:eastAsia="en-GB"/>
        </w:rPr>
      </w:pPr>
    </w:p>
    <w:p w14:paraId="29A543E7"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It is the responsibility of all distributors to maintain up to date knowledge of the product being sold, its intended target market, the needs of that market, and the distribution strategy. As per IDD requirements, regulated distributors must complete a minimum of 15 hours CPD training covering: </w:t>
      </w:r>
    </w:p>
    <w:p w14:paraId="442ACFCE" w14:textId="77777777" w:rsidR="00A2134D" w:rsidRPr="00A2134D" w:rsidRDefault="00A2134D" w:rsidP="00A2134D">
      <w:pPr>
        <w:spacing w:after="0" w:line="276" w:lineRule="auto"/>
        <w:rPr>
          <w:rFonts w:ascii="Arial" w:eastAsia="Times New Roman" w:hAnsi="Arial" w:cs="Arial"/>
          <w:sz w:val="22"/>
          <w:szCs w:val="22"/>
          <w:lang w:eastAsia="en-GB"/>
        </w:rPr>
      </w:pPr>
    </w:p>
    <w:p w14:paraId="3972F857"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The terms and conditions of product(s) being sold</w:t>
      </w:r>
    </w:p>
    <w:p w14:paraId="0AADE7AB"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Relevant knowledge of claims handling </w:t>
      </w:r>
    </w:p>
    <w:p w14:paraId="4C9D383A"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Relevant knowledge of complaints handling </w:t>
      </w:r>
    </w:p>
    <w:p w14:paraId="4682F03F"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Relevant knowledge of applicable laws/regulations governing distribution of the product</w:t>
      </w:r>
    </w:p>
    <w:p w14:paraId="28477F4C"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Assessment of customer needs</w:t>
      </w:r>
    </w:p>
    <w:p w14:paraId="59EB5B5A"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Business ethics standards</w:t>
      </w:r>
    </w:p>
    <w:p w14:paraId="351C763F" w14:textId="77777777" w:rsidR="00A2134D" w:rsidRPr="00A2134D" w:rsidRDefault="00A2134D" w:rsidP="00A2134D">
      <w:pPr>
        <w:numPr>
          <w:ilvl w:val="0"/>
          <w:numId w:val="41"/>
        </w:numPr>
        <w:spacing w:after="0" w:line="276" w:lineRule="auto"/>
        <w:contextualSpacing/>
        <w:rPr>
          <w:rFonts w:ascii="Arial" w:eastAsia="Times New Roman" w:hAnsi="Arial" w:cs="Arial"/>
          <w:sz w:val="22"/>
          <w:szCs w:val="22"/>
          <w:lang w:eastAsia="en-GB"/>
        </w:rPr>
      </w:pPr>
      <w:r w:rsidRPr="00A2134D">
        <w:rPr>
          <w:rFonts w:ascii="Arial" w:eastAsia="Times New Roman" w:hAnsi="Arial" w:cs="Arial"/>
          <w:sz w:val="22"/>
          <w:szCs w:val="22"/>
          <w:lang w:eastAsia="en-GB"/>
        </w:rPr>
        <w:t>Minimum necessary financial competency</w:t>
      </w:r>
    </w:p>
    <w:p w14:paraId="1FF10D9B" w14:textId="77777777" w:rsidR="00A2134D" w:rsidRPr="00A2134D" w:rsidRDefault="00A2134D" w:rsidP="00A2134D">
      <w:pPr>
        <w:spacing w:after="0" w:line="276" w:lineRule="auto"/>
        <w:rPr>
          <w:rFonts w:ascii="Arial" w:eastAsia="Times New Roman" w:hAnsi="Arial" w:cs="Arial"/>
          <w:sz w:val="22"/>
          <w:szCs w:val="22"/>
          <w:lang w:eastAsia="en-GB"/>
        </w:rPr>
      </w:pPr>
    </w:p>
    <w:p w14:paraId="7DA3A80E"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color w:val="34373C"/>
          <w:sz w:val="22"/>
          <w:szCs w:val="22"/>
          <w:lang w:eastAsia="en-GB"/>
        </w:rPr>
        <w:t xml:space="preserve">Distributors must obtain </w:t>
      </w:r>
      <w:r w:rsidRPr="00A2134D">
        <w:rPr>
          <w:rFonts w:ascii="Arial" w:eastAsia="Times New Roman" w:hAnsi="Arial" w:cs="Arial"/>
          <w:color w:val="000000"/>
          <w:sz w:val="22"/>
          <w:szCs w:val="22"/>
          <w:lang w:eastAsia="en-GB"/>
        </w:rPr>
        <w:t xml:space="preserve">from the manufacturer all the information required to distribute products in accordance with IDD requirements. </w:t>
      </w:r>
      <w:r w:rsidRPr="00A2134D">
        <w:rPr>
          <w:rFonts w:ascii="Arial" w:eastAsia="Times New Roman" w:hAnsi="Arial" w:cs="Arial"/>
          <w:sz w:val="22"/>
          <w:szCs w:val="22"/>
          <w:lang w:eastAsia="en-GB"/>
        </w:rPr>
        <w:t xml:space="preserve">Should further information be needed to enable the compliant distribution of a </w:t>
      </w:r>
      <w:proofErr w:type="gramStart"/>
      <w:r w:rsidRPr="00A2134D">
        <w:rPr>
          <w:rFonts w:ascii="Arial" w:eastAsia="Times New Roman" w:hAnsi="Arial" w:cs="Arial"/>
          <w:sz w:val="22"/>
          <w:szCs w:val="22"/>
          <w:lang w:eastAsia="en-GB"/>
        </w:rPr>
        <w:t>Convex</w:t>
      </w:r>
      <w:proofErr w:type="gramEnd"/>
      <w:r w:rsidRPr="00A2134D">
        <w:rPr>
          <w:rFonts w:ascii="Arial" w:eastAsia="Times New Roman" w:hAnsi="Arial" w:cs="Arial"/>
          <w:sz w:val="22"/>
          <w:szCs w:val="22"/>
          <w:lang w:eastAsia="en-GB"/>
        </w:rPr>
        <w:t xml:space="preserve"> product, please notify your </w:t>
      </w:r>
      <w:proofErr w:type="gramStart"/>
      <w:r w:rsidRPr="00A2134D">
        <w:rPr>
          <w:rFonts w:ascii="Arial" w:eastAsia="Times New Roman" w:hAnsi="Arial" w:cs="Arial"/>
          <w:sz w:val="22"/>
          <w:szCs w:val="22"/>
          <w:lang w:eastAsia="en-GB"/>
        </w:rPr>
        <w:t>Convex</w:t>
      </w:r>
      <w:proofErr w:type="gramEnd"/>
      <w:r w:rsidRPr="00A2134D">
        <w:rPr>
          <w:rFonts w:ascii="Arial" w:eastAsia="Times New Roman" w:hAnsi="Arial" w:cs="Arial"/>
          <w:sz w:val="22"/>
          <w:szCs w:val="22"/>
          <w:lang w:eastAsia="en-GB"/>
        </w:rPr>
        <w:t xml:space="preserve"> contact. </w:t>
      </w:r>
    </w:p>
    <w:p w14:paraId="0A731C7F" w14:textId="77777777" w:rsidR="00A2134D" w:rsidRPr="00A2134D" w:rsidRDefault="00A2134D" w:rsidP="00A2134D">
      <w:pPr>
        <w:spacing w:after="0" w:line="276" w:lineRule="auto"/>
        <w:jc w:val="both"/>
        <w:rPr>
          <w:rFonts w:ascii="Arial" w:eastAsia="Times New Roman" w:hAnsi="Arial" w:cs="Arial"/>
          <w:sz w:val="22"/>
          <w:szCs w:val="22"/>
          <w:lang w:eastAsia="en-GB"/>
        </w:rPr>
      </w:pPr>
    </w:p>
    <w:p w14:paraId="7D18EDE7" w14:textId="77777777" w:rsidR="00A2134D" w:rsidRPr="00A2134D" w:rsidRDefault="00A2134D" w:rsidP="00A2134D">
      <w:pPr>
        <w:spacing w:after="0" w:line="276" w:lineRule="auto"/>
        <w:jc w:val="both"/>
        <w:rPr>
          <w:rFonts w:ascii="Arial" w:eastAsia="Times New Roman" w:hAnsi="Arial" w:cs="Arial"/>
          <w:sz w:val="22"/>
          <w:szCs w:val="22"/>
          <w:lang w:eastAsia="en-GB"/>
        </w:rPr>
      </w:pPr>
      <w:r w:rsidRPr="00A2134D">
        <w:rPr>
          <w:rFonts w:ascii="Arial" w:eastAsia="Times New Roman" w:hAnsi="Arial" w:cs="Arial"/>
          <w:sz w:val="22"/>
          <w:szCs w:val="22"/>
          <w:lang w:eastAsia="en-GB"/>
        </w:rPr>
        <w:t xml:space="preserve">Distributors must make this product passport available to all approved sub agents/ intermediaries in the distribution chain. </w:t>
      </w:r>
    </w:p>
    <w:p w14:paraId="406BB8D8" w14:textId="77777777" w:rsidR="00A2134D" w:rsidRPr="00A2134D" w:rsidRDefault="00A2134D" w:rsidP="00A2134D">
      <w:pPr>
        <w:snapToGrid w:val="0"/>
        <w:spacing w:before="240" w:after="120"/>
        <w:jc w:val="both"/>
        <w:rPr>
          <w:rFonts w:ascii="Arial" w:eastAsia="Arial" w:hAnsi="Arial" w:cs="Arial"/>
          <w:bCs/>
          <w:color w:val="000000"/>
          <w:sz w:val="22"/>
          <w:szCs w:val="22"/>
        </w:rPr>
      </w:pPr>
      <w:r w:rsidRPr="00A2134D">
        <w:rPr>
          <w:rFonts w:ascii="Arial" w:eastAsia="Arial" w:hAnsi="Arial" w:cs="Arial"/>
          <w:bCs/>
          <w:color w:val="000000"/>
          <w:sz w:val="22"/>
          <w:szCs w:val="22"/>
        </w:rPr>
        <w:t xml:space="preserve">Distributors must also regularly report to Convex the sales, claims, and complaints information it accumulates in relation to a </w:t>
      </w:r>
      <w:proofErr w:type="gramStart"/>
      <w:r w:rsidRPr="00A2134D">
        <w:rPr>
          <w:rFonts w:ascii="Arial" w:eastAsia="Arial" w:hAnsi="Arial" w:cs="Arial"/>
          <w:bCs/>
          <w:color w:val="000000"/>
          <w:sz w:val="22"/>
          <w:szCs w:val="22"/>
        </w:rPr>
        <w:t>Convex</w:t>
      </w:r>
      <w:proofErr w:type="gramEnd"/>
      <w:r w:rsidRPr="00A2134D">
        <w:rPr>
          <w:rFonts w:ascii="Arial" w:eastAsia="Arial" w:hAnsi="Arial" w:cs="Arial"/>
          <w:bCs/>
          <w:color w:val="000000"/>
          <w:sz w:val="22"/>
          <w:szCs w:val="22"/>
        </w:rPr>
        <w:t xml:space="preserve"> product. In addition, an annual questionnaire will be sent to distribution partners to monitor the ongoing fair value of products. </w:t>
      </w:r>
    </w:p>
    <w:p w14:paraId="7F9F0EF5" w14:textId="77777777" w:rsidR="00A2134D" w:rsidRPr="00A2134D" w:rsidRDefault="00A2134D" w:rsidP="00A2134D">
      <w:pPr>
        <w:snapToGrid w:val="0"/>
        <w:spacing w:before="240" w:after="120"/>
        <w:jc w:val="both"/>
        <w:rPr>
          <w:rFonts w:ascii="Arial" w:eastAsia="Arial" w:hAnsi="Arial" w:cs="Arial"/>
          <w:bCs/>
          <w:color w:val="000000"/>
          <w:sz w:val="22"/>
          <w:szCs w:val="22"/>
        </w:rPr>
      </w:pPr>
      <w:r w:rsidRPr="00A2134D">
        <w:rPr>
          <w:rFonts w:ascii="Arial" w:eastAsia="Arial" w:hAnsi="Arial" w:cs="Arial"/>
          <w:bCs/>
          <w:color w:val="000000"/>
          <w:sz w:val="22"/>
          <w:szCs w:val="22"/>
        </w:rPr>
        <w:t xml:space="preserve">Lastly, distributors must be alert to and promptly notify Convex of any product related circumstances that may adversely affect the interests of customers. </w:t>
      </w:r>
    </w:p>
    <w:p w14:paraId="6DC03BDE" w14:textId="15ACAB26" w:rsidR="00A2134D" w:rsidRPr="00A2134D" w:rsidRDefault="00A2134D" w:rsidP="00A2134D">
      <w:pPr>
        <w:spacing w:after="0"/>
        <w:rPr>
          <w:rFonts w:ascii="Arial" w:eastAsia="Times New Roman" w:hAnsi="Arial" w:cs="Arial"/>
          <w:b/>
          <w:bCs/>
          <w:color w:val="4D7F71"/>
          <w:sz w:val="24"/>
          <w:lang w:eastAsia="en-GB"/>
        </w:rPr>
      </w:pPr>
      <w:r w:rsidRPr="00A2134D">
        <w:rPr>
          <w:rFonts w:ascii="Arial" w:eastAsia="Times New Roman" w:hAnsi="Arial" w:cs="Arial"/>
          <w:b/>
          <w:bCs/>
          <w:color w:val="4D7F71"/>
          <w:sz w:val="24"/>
          <w:lang w:eastAsia="en-GB"/>
        </w:rPr>
        <w:br w:type="page"/>
      </w:r>
    </w:p>
    <w:tbl>
      <w:tblPr>
        <w:tblStyle w:val="TableGrid2"/>
        <w:tblW w:w="9776" w:type="dxa"/>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2951"/>
        <w:gridCol w:w="6825"/>
      </w:tblGrid>
      <w:tr w:rsidR="00A2134D" w:rsidRPr="00A2134D" w14:paraId="72D1438D" w14:textId="77777777" w:rsidTr="00D14110">
        <w:trPr>
          <w:trHeight w:val="454"/>
        </w:trPr>
        <w:tc>
          <w:tcPr>
            <w:tcW w:w="9776" w:type="dxa"/>
            <w:gridSpan w:val="2"/>
            <w:shd w:val="clear" w:color="auto" w:fill="258F86"/>
            <w:vAlign w:val="center"/>
          </w:tcPr>
          <w:p w14:paraId="02C5A17F"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lastRenderedPageBreak/>
              <w:t>Product Details</w:t>
            </w:r>
          </w:p>
        </w:tc>
      </w:tr>
      <w:tr w:rsidR="00A2134D" w:rsidRPr="00A2134D" w14:paraId="72DA54B2" w14:textId="77777777" w:rsidTr="00D14110">
        <w:trPr>
          <w:trHeight w:val="567"/>
        </w:trPr>
        <w:tc>
          <w:tcPr>
            <w:tcW w:w="2951" w:type="dxa"/>
            <w:vAlign w:val="center"/>
          </w:tcPr>
          <w:p w14:paraId="61195DD3"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Product Name</w:t>
            </w:r>
          </w:p>
        </w:tc>
        <w:tc>
          <w:tcPr>
            <w:tcW w:w="6825" w:type="dxa"/>
            <w:vAlign w:val="center"/>
          </w:tcPr>
          <w:p w14:paraId="2531641C"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Contractors Combined Liability Policy (UK)</w:t>
            </w:r>
          </w:p>
        </w:tc>
      </w:tr>
      <w:tr w:rsidR="00A2134D" w:rsidRPr="00A2134D" w14:paraId="03EC04EA" w14:textId="77777777" w:rsidTr="00D14110">
        <w:trPr>
          <w:trHeight w:val="567"/>
        </w:trPr>
        <w:tc>
          <w:tcPr>
            <w:tcW w:w="2951" w:type="dxa"/>
            <w:vAlign w:val="center"/>
          </w:tcPr>
          <w:p w14:paraId="3CF0184A"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Product Reference</w:t>
            </w:r>
          </w:p>
        </w:tc>
        <w:tc>
          <w:tcPr>
            <w:tcW w:w="6825" w:type="dxa"/>
            <w:vAlign w:val="center"/>
          </w:tcPr>
          <w:p w14:paraId="61E0B0D0"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CVX-CAS-004-0225</w:t>
            </w:r>
          </w:p>
        </w:tc>
      </w:tr>
      <w:tr w:rsidR="00A2134D" w:rsidRPr="00A2134D" w14:paraId="041B5897" w14:textId="77777777" w:rsidTr="00D14110">
        <w:trPr>
          <w:trHeight w:val="567"/>
        </w:trPr>
        <w:tc>
          <w:tcPr>
            <w:tcW w:w="2951" w:type="dxa"/>
            <w:vAlign w:val="center"/>
          </w:tcPr>
          <w:p w14:paraId="10854753"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Product Manufacturer</w:t>
            </w:r>
          </w:p>
        </w:tc>
        <w:tc>
          <w:tcPr>
            <w:tcW w:w="6825" w:type="dxa"/>
            <w:vAlign w:val="center"/>
          </w:tcPr>
          <w:p w14:paraId="640DE51C"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Convex Insurance (UK) Limited</w:t>
            </w:r>
          </w:p>
        </w:tc>
      </w:tr>
      <w:tr w:rsidR="00A2134D" w:rsidRPr="00A2134D" w14:paraId="5D8C0F46" w14:textId="77777777" w:rsidTr="00D14110">
        <w:trPr>
          <w:trHeight w:val="567"/>
        </w:trPr>
        <w:tc>
          <w:tcPr>
            <w:tcW w:w="2951" w:type="dxa"/>
            <w:vAlign w:val="center"/>
          </w:tcPr>
          <w:p w14:paraId="28223E2C"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Line of Business</w:t>
            </w:r>
          </w:p>
        </w:tc>
        <w:tc>
          <w:tcPr>
            <w:tcW w:w="6825" w:type="dxa"/>
            <w:vAlign w:val="center"/>
          </w:tcPr>
          <w:p w14:paraId="44B7E2FE"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Casualty</w:t>
            </w:r>
          </w:p>
        </w:tc>
      </w:tr>
      <w:tr w:rsidR="00A2134D" w:rsidRPr="00A2134D" w14:paraId="3871A661" w14:textId="77777777" w:rsidTr="00D14110">
        <w:trPr>
          <w:trHeight w:val="567"/>
        </w:trPr>
        <w:tc>
          <w:tcPr>
            <w:tcW w:w="2951" w:type="dxa"/>
            <w:vAlign w:val="center"/>
          </w:tcPr>
          <w:p w14:paraId="6132EAF0"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Binding Authority Reference</w:t>
            </w:r>
          </w:p>
        </w:tc>
        <w:tc>
          <w:tcPr>
            <w:tcW w:w="6825" w:type="dxa"/>
            <w:vAlign w:val="center"/>
          </w:tcPr>
          <w:p w14:paraId="796BD259"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N/A</w:t>
            </w:r>
          </w:p>
        </w:tc>
      </w:tr>
      <w:tr w:rsidR="00A2134D" w:rsidRPr="00A2134D" w14:paraId="62423FFB" w14:textId="77777777" w:rsidTr="00D14110">
        <w:trPr>
          <w:trHeight w:val="567"/>
        </w:trPr>
        <w:tc>
          <w:tcPr>
            <w:tcW w:w="2951" w:type="dxa"/>
            <w:vAlign w:val="center"/>
          </w:tcPr>
          <w:p w14:paraId="7B08AF6D"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Effective Date</w:t>
            </w:r>
          </w:p>
        </w:tc>
        <w:tc>
          <w:tcPr>
            <w:tcW w:w="6825" w:type="dxa"/>
            <w:vAlign w:val="center"/>
          </w:tcPr>
          <w:p w14:paraId="173EE0C9"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22/05/2025</w:t>
            </w:r>
          </w:p>
        </w:tc>
      </w:tr>
      <w:tr w:rsidR="00A2134D" w:rsidRPr="00A2134D" w14:paraId="5D40D494" w14:textId="77777777" w:rsidTr="00D14110">
        <w:trPr>
          <w:trHeight w:val="567"/>
        </w:trPr>
        <w:tc>
          <w:tcPr>
            <w:tcW w:w="2951" w:type="dxa"/>
            <w:vAlign w:val="center"/>
          </w:tcPr>
          <w:p w14:paraId="229D6C88"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Date of Last Review</w:t>
            </w:r>
          </w:p>
        </w:tc>
        <w:tc>
          <w:tcPr>
            <w:tcW w:w="6825" w:type="dxa"/>
            <w:vAlign w:val="center"/>
          </w:tcPr>
          <w:p w14:paraId="0C5969E9"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22/05/2025</w:t>
            </w:r>
          </w:p>
        </w:tc>
      </w:tr>
    </w:tbl>
    <w:p w14:paraId="1B280FCE"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9730"/>
      </w:tblGrid>
      <w:tr w:rsidR="00A2134D" w:rsidRPr="00A2134D" w14:paraId="07E34274" w14:textId="77777777" w:rsidTr="00D14110">
        <w:trPr>
          <w:trHeight w:val="454"/>
        </w:trPr>
        <w:tc>
          <w:tcPr>
            <w:tcW w:w="10530" w:type="dxa"/>
            <w:shd w:val="clear" w:color="auto" w:fill="258F86"/>
            <w:vAlign w:val="center"/>
          </w:tcPr>
          <w:p w14:paraId="6AF303BC"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t>Product Description</w:t>
            </w:r>
          </w:p>
        </w:tc>
      </w:tr>
      <w:tr w:rsidR="00A2134D" w:rsidRPr="00A2134D" w14:paraId="24C321C7" w14:textId="77777777" w:rsidTr="00D14110">
        <w:tc>
          <w:tcPr>
            <w:tcW w:w="10530" w:type="dxa"/>
          </w:tcPr>
          <w:p w14:paraId="4106EF36" w14:textId="77777777" w:rsidR="00A2134D" w:rsidRDefault="00A2134D" w:rsidP="00A2134D">
            <w:pPr>
              <w:snapToGrid w:val="0"/>
              <w:spacing w:before="240" w:after="0"/>
              <w:rPr>
                <w:rFonts w:ascii="Arial" w:eastAsia="Arial" w:hAnsi="Arial" w:cs="Times New Roman"/>
                <w:color w:val="000000"/>
                <w:sz w:val="20"/>
                <w:szCs w:val="20"/>
              </w:rPr>
            </w:pPr>
            <w:r w:rsidRPr="00A2134D">
              <w:rPr>
                <w:rFonts w:ascii="Arial" w:eastAsia="Arial" w:hAnsi="Arial" w:cs="Times New Roman"/>
                <w:color w:val="000000"/>
                <w:sz w:val="20"/>
                <w:szCs w:val="20"/>
              </w:rPr>
              <w:t xml:space="preserve">This product provides standard liability and contractors all risks insurance to commercial customers operating business located in the UK. The product has </w:t>
            </w:r>
            <w:proofErr w:type="gramStart"/>
            <w:r w:rsidRPr="00A2134D">
              <w:rPr>
                <w:rFonts w:ascii="Arial" w:eastAsia="Arial" w:hAnsi="Arial" w:cs="Times New Roman"/>
                <w:color w:val="000000"/>
                <w:sz w:val="20"/>
                <w:szCs w:val="20"/>
              </w:rPr>
              <w:t>a number of</w:t>
            </w:r>
            <w:proofErr w:type="gramEnd"/>
            <w:r w:rsidRPr="00A2134D">
              <w:rPr>
                <w:rFonts w:ascii="Arial" w:eastAsia="Arial" w:hAnsi="Arial" w:cs="Times New Roman"/>
                <w:color w:val="000000"/>
                <w:sz w:val="20"/>
                <w:szCs w:val="20"/>
              </w:rPr>
              <w:t xml:space="preserve"> separate sections and extensions to cover a broad range of risks to business with each of these sections being optional and priced individually.</w:t>
            </w:r>
          </w:p>
          <w:p w14:paraId="3479190F" w14:textId="77777777" w:rsidR="00A2134D" w:rsidRPr="00A2134D" w:rsidRDefault="00A2134D" w:rsidP="00A2134D">
            <w:pPr>
              <w:snapToGrid w:val="0"/>
              <w:spacing w:before="240" w:after="0"/>
              <w:rPr>
                <w:rFonts w:ascii="Arial" w:eastAsia="Arial" w:hAnsi="Arial" w:cs="Times New Roman"/>
                <w:color w:val="000000"/>
                <w:sz w:val="20"/>
                <w:szCs w:val="20"/>
              </w:rPr>
            </w:pPr>
          </w:p>
        </w:tc>
      </w:tr>
    </w:tbl>
    <w:p w14:paraId="6CF39426"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3091"/>
        <w:gridCol w:w="6639"/>
      </w:tblGrid>
      <w:tr w:rsidR="00A2134D" w:rsidRPr="00A2134D" w14:paraId="025CA130" w14:textId="77777777" w:rsidTr="00D14110">
        <w:trPr>
          <w:trHeight w:val="454"/>
        </w:trPr>
        <w:tc>
          <w:tcPr>
            <w:tcW w:w="10530" w:type="dxa"/>
            <w:gridSpan w:val="2"/>
            <w:shd w:val="clear" w:color="auto" w:fill="258F86"/>
            <w:vAlign w:val="center"/>
          </w:tcPr>
          <w:p w14:paraId="5787733C"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t>Product Features</w:t>
            </w:r>
          </w:p>
        </w:tc>
      </w:tr>
      <w:tr w:rsidR="00A2134D" w:rsidRPr="00A2134D" w14:paraId="02C7D258" w14:textId="77777777" w:rsidTr="00D14110">
        <w:trPr>
          <w:trHeight w:val="567"/>
        </w:trPr>
        <w:tc>
          <w:tcPr>
            <w:tcW w:w="3256" w:type="dxa"/>
            <w:vAlign w:val="center"/>
          </w:tcPr>
          <w:p w14:paraId="36A0607E"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Covers </w:t>
            </w:r>
          </w:p>
        </w:tc>
        <w:tc>
          <w:tcPr>
            <w:tcW w:w="7274" w:type="dxa"/>
            <w:vAlign w:val="center"/>
          </w:tcPr>
          <w:p w14:paraId="41A28224" w14:textId="77777777" w:rsidR="00A2134D" w:rsidRPr="00A2134D" w:rsidRDefault="00A2134D" w:rsidP="00A2134D">
            <w:pPr>
              <w:snapToGrid w:val="0"/>
              <w:spacing w:before="120" w:after="120"/>
              <w:rPr>
                <w:rFonts w:ascii="Arial" w:eastAsia="Arial" w:hAnsi="Arial" w:cs="Times New Roman"/>
                <w:b/>
                <w:color w:val="000000"/>
                <w:sz w:val="20"/>
                <w:szCs w:val="20"/>
              </w:rPr>
            </w:pPr>
            <w:r w:rsidRPr="00A2134D">
              <w:rPr>
                <w:rFonts w:ascii="Arial" w:eastAsia="Arial" w:hAnsi="Arial" w:cs="Times New Roman"/>
                <w:b/>
                <w:color w:val="000000"/>
                <w:sz w:val="20"/>
                <w:szCs w:val="20"/>
              </w:rPr>
              <w:t>Main covers:</w:t>
            </w:r>
          </w:p>
          <w:p w14:paraId="12676AAF" w14:textId="77777777" w:rsidR="00A2134D" w:rsidRPr="00A2134D" w:rsidRDefault="00A2134D" w:rsidP="00A2134D">
            <w:pPr>
              <w:numPr>
                <w:ilvl w:val="0"/>
                <w:numId w:val="43"/>
              </w:numPr>
              <w:snapToGrid w:val="0"/>
              <w:spacing w:before="120" w:after="120"/>
              <w:ind w:left="714" w:hanging="357"/>
              <w:rPr>
                <w:rFonts w:ascii="Arial" w:eastAsia="Arial" w:hAnsi="Arial" w:cs="Times New Roman"/>
                <w:bCs/>
                <w:color w:val="000000"/>
                <w:sz w:val="20"/>
                <w:szCs w:val="20"/>
              </w:rPr>
            </w:pPr>
            <w:r w:rsidRPr="00A2134D">
              <w:rPr>
                <w:rFonts w:ascii="Arial" w:eastAsia="Arial" w:hAnsi="Arial" w:cs="Times New Roman"/>
                <w:bCs/>
                <w:color w:val="000000"/>
                <w:sz w:val="20"/>
                <w:szCs w:val="20"/>
              </w:rPr>
              <w:t>Employers’ Liability</w:t>
            </w:r>
          </w:p>
          <w:p w14:paraId="2474799E" w14:textId="77777777" w:rsidR="00A2134D" w:rsidRPr="00A2134D" w:rsidRDefault="00A2134D" w:rsidP="00A2134D">
            <w:pPr>
              <w:numPr>
                <w:ilvl w:val="0"/>
                <w:numId w:val="43"/>
              </w:numPr>
              <w:snapToGrid w:val="0"/>
              <w:spacing w:before="120" w:after="120"/>
              <w:ind w:left="714" w:hanging="357"/>
              <w:rPr>
                <w:rFonts w:ascii="Arial" w:eastAsia="Arial" w:hAnsi="Arial" w:cs="Times New Roman"/>
                <w:bCs/>
                <w:color w:val="000000"/>
                <w:sz w:val="20"/>
                <w:szCs w:val="20"/>
              </w:rPr>
            </w:pPr>
            <w:r w:rsidRPr="00A2134D">
              <w:rPr>
                <w:rFonts w:ascii="Arial" w:eastAsia="Arial" w:hAnsi="Arial" w:cs="Times New Roman"/>
                <w:bCs/>
                <w:color w:val="000000"/>
                <w:sz w:val="20"/>
                <w:szCs w:val="20"/>
              </w:rPr>
              <w:t>Public Liability</w:t>
            </w:r>
          </w:p>
          <w:p w14:paraId="236A6529" w14:textId="77777777" w:rsidR="00A2134D" w:rsidRPr="00A2134D" w:rsidRDefault="00A2134D" w:rsidP="00A2134D">
            <w:pPr>
              <w:numPr>
                <w:ilvl w:val="0"/>
                <w:numId w:val="43"/>
              </w:numPr>
              <w:snapToGrid w:val="0"/>
              <w:spacing w:before="120" w:after="120"/>
              <w:ind w:left="714" w:hanging="357"/>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Product Liability </w:t>
            </w:r>
          </w:p>
          <w:p w14:paraId="43B7A9AA" w14:textId="77777777" w:rsidR="00A2134D" w:rsidRPr="00A2134D" w:rsidRDefault="00A2134D" w:rsidP="00A2134D">
            <w:pPr>
              <w:numPr>
                <w:ilvl w:val="0"/>
                <w:numId w:val="43"/>
              </w:numPr>
              <w:snapToGrid w:val="0"/>
              <w:spacing w:before="120" w:after="120"/>
              <w:ind w:left="714" w:hanging="357"/>
              <w:rPr>
                <w:rFonts w:ascii="Arial" w:eastAsia="Arial" w:hAnsi="Arial" w:cs="Times New Roman"/>
                <w:bCs/>
                <w:color w:val="000000"/>
                <w:sz w:val="20"/>
                <w:szCs w:val="20"/>
              </w:rPr>
            </w:pPr>
            <w:r w:rsidRPr="00A2134D">
              <w:rPr>
                <w:rFonts w:ascii="Arial" w:eastAsia="Arial" w:hAnsi="Arial" w:cs="Times New Roman"/>
                <w:bCs/>
                <w:color w:val="000000"/>
                <w:sz w:val="20"/>
                <w:szCs w:val="20"/>
              </w:rPr>
              <w:t>Pollution Liability</w:t>
            </w:r>
          </w:p>
          <w:p w14:paraId="77F4BB71" w14:textId="77777777" w:rsidR="00A2134D" w:rsidRPr="00A2134D" w:rsidRDefault="00A2134D" w:rsidP="00A2134D">
            <w:pPr>
              <w:numPr>
                <w:ilvl w:val="0"/>
                <w:numId w:val="43"/>
              </w:numPr>
              <w:snapToGrid w:val="0"/>
              <w:spacing w:before="120" w:after="120"/>
              <w:ind w:left="714" w:hanging="357"/>
              <w:rPr>
                <w:rFonts w:ascii="Arial" w:eastAsia="Arial" w:hAnsi="Arial" w:cs="Times New Roman"/>
                <w:bCs/>
                <w:color w:val="000000"/>
                <w:sz w:val="20"/>
                <w:szCs w:val="20"/>
              </w:rPr>
            </w:pPr>
            <w:r w:rsidRPr="00A2134D">
              <w:rPr>
                <w:rFonts w:ascii="Arial" w:eastAsia="Arial" w:hAnsi="Arial" w:cs="Times New Roman"/>
                <w:bCs/>
                <w:color w:val="000000"/>
                <w:sz w:val="20"/>
                <w:szCs w:val="20"/>
              </w:rPr>
              <w:t>Contractors All Risks</w:t>
            </w:r>
          </w:p>
        </w:tc>
      </w:tr>
      <w:tr w:rsidR="00A2134D" w:rsidRPr="00A2134D" w14:paraId="341D353C" w14:textId="77777777" w:rsidTr="00D14110">
        <w:trPr>
          <w:trHeight w:val="567"/>
        </w:trPr>
        <w:tc>
          <w:tcPr>
            <w:tcW w:w="3256" w:type="dxa"/>
            <w:vAlign w:val="center"/>
          </w:tcPr>
          <w:p w14:paraId="46DD29D9"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Key Exclusions</w:t>
            </w:r>
          </w:p>
        </w:tc>
        <w:tc>
          <w:tcPr>
            <w:tcW w:w="7274" w:type="dxa"/>
            <w:vAlign w:val="center"/>
          </w:tcPr>
          <w:p w14:paraId="2D9B464C"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The policy does not insure, apply to or include any cover for any loss, damage, Claim, cost, expense or other sum directly or indirectly arising out of or relating to:</w:t>
            </w:r>
          </w:p>
          <w:p w14:paraId="38E4A1A2"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Abuse </w:t>
            </w:r>
          </w:p>
          <w:p w14:paraId="36199D64"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Asbestos</w:t>
            </w:r>
          </w:p>
          <w:p w14:paraId="0FB7E17E"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Cyber</w:t>
            </w:r>
          </w:p>
          <w:p w14:paraId="1C526249"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Data Loss</w:t>
            </w:r>
          </w:p>
          <w:p w14:paraId="1F915740"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lastRenderedPageBreak/>
              <w:t>Data Protection</w:t>
            </w:r>
          </w:p>
          <w:p w14:paraId="25CCE5BA"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Deliberate failure to prevent Bodily Injury or Property Damage</w:t>
            </w:r>
          </w:p>
          <w:p w14:paraId="4095E23E"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Liquidated Damages</w:t>
            </w:r>
          </w:p>
          <w:p w14:paraId="51153DEA"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Nuclear</w:t>
            </w:r>
          </w:p>
          <w:p w14:paraId="36F5083C"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Communicable disease</w:t>
            </w:r>
          </w:p>
          <w:p w14:paraId="7149B18C"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War</w:t>
            </w:r>
          </w:p>
          <w:p w14:paraId="332D3A33"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Terrorism </w:t>
            </w:r>
          </w:p>
          <w:p w14:paraId="691E9768"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Sanctions</w:t>
            </w:r>
          </w:p>
          <w:p w14:paraId="55A36BAA"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US/Canada Pollution</w:t>
            </w:r>
          </w:p>
          <w:p w14:paraId="79662E66" w14:textId="77777777" w:rsidR="00A2134D" w:rsidRPr="00A2134D" w:rsidRDefault="00A2134D" w:rsidP="00A2134D">
            <w:pPr>
              <w:numPr>
                <w:ilvl w:val="0"/>
                <w:numId w:val="44"/>
              </w:numPr>
              <w:snapToGrid w:val="0"/>
              <w:spacing w:before="120" w:after="120"/>
              <w:ind w:left="1077"/>
              <w:rPr>
                <w:rFonts w:ascii="Arial" w:eastAsia="Arial" w:hAnsi="Arial" w:cs="Times New Roman"/>
                <w:bCs/>
                <w:color w:val="000000"/>
                <w:sz w:val="20"/>
                <w:szCs w:val="20"/>
              </w:rPr>
            </w:pPr>
            <w:r w:rsidRPr="00A2134D">
              <w:rPr>
                <w:rFonts w:ascii="Arial" w:eastAsia="Arial" w:hAnsi="Arial" w:cs="Times New Roman"/>
                <w:bCs/>
                <w:color w:val="000000"/>
                <w:sz w:val="20"/>
                <w:szCs w:val="20"/>
              </w:rPr>
              <w:t>PFAS</w:t>
            </w:r>
          </w:p>
          <w:p w14:paraId="600EF07F"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Some of the above exclusions do not apply to some of the covers (for instance, Employers’ Liability), as further specified in the wording.</w:t>
            </w:r>
          </w:p>
          <w:p w14:paraId="382D1220"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In addition, there are exclusions applicable to each of the cover provided, as further specified in the wording.</w:t>
            </w:r>
          </w:p>
        </w:tc>
      </w:tr>
      <w:tr w:rsidR="00A2134D" w:rsidRPr="00A2134D" w14:paraId="58DD4089" w14:textId="77777777" w:rsidTr="00D14110">
        <w:trPr>
          <w:trHeight w:val="567"/>
        </w:trPr>
        <w:tc>
          <w:tcPr>
            <w:tcW w:w="3256" w:type="dxa"/>
            <w:vAlign w:val="center"/>
          </w:tcPr>
          <w:p w14:paraId="5F900FF1"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lastRenderedPageBreak/>
              <w:t>Main Restrictions</w:t>
            </w:r>
          </w:p>
        </w:tc>
        <w:tc>
          <w:tcPr>
            <w:tcW w:w="7274" w:type="dxa"/>
            <w:vAlign w:val="center"/>
          </w:tcPr>
          <w:p w14:paraId="34C085E4"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As limited in the Schedule</w:t>
            </w:r>
          </w:p>
        </w:tc>
      </w:tr>
      <w:tr w:rsidR="00A2134D" w:rsidRPr="00A2134D" w14:paraId="7B4E26C2" w14:textId="77777777" w:rsidTr="00D14110">
        <w:trPr>
          <w:trHeight w:val="567"/>
        </w:trPr>
        <w:tc>
          <w:tcPr>
            <w:tcW w:w="3256" w:type="dxa"/>
            <w:vAlign w:val="center"/>
          </w:tcPr>
          <w:p w14:paraId="3B01B743"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Optional Covers</w:t>
            </w:r>
          </w:p>
        </w:tc>
        <w:tc>
          <w:tcPr>
            <w:tcW w:w="7274" w:type="dxa"/>
            <w:vAlign w:val="center"/>
          </w:tcPr>
          <w:p w14:paraId="4BE069F8"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As set out in the Schedule</w:t>
            </w:r>
          </w:p>
        </w:tc>
      </w:tr>
      <w:tr w:rsidR="00A2134D" w:rsidRPr="00A2134D" w14:paraId="60098A42" w14:textId="77777777" w:rsidTr="00D14110">
        <w:trPr>
          <w:trHeight w:val="567"/>
        </w:trPr>
        <w:tc>
          <w:tcPr>
            <w:tcW w:w="3256" w:type="dxa"/>
            <w:vAlign w:val="center"/>
          </w:tcPr>
          <w:p w14:paraId="0031CE40"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Cross-selling/ Ancillary/Packaged Product</w:t>
            </w:r>
          </w:p>
        </w:tc>
        <w:tc>
          <w:tcPr>
            <w:tcW w:w="7274" w:type="dxa"/>
            <w:vAlign w:val="center"/>
          </w:tcPr>
          <w:p w14:paraId="11C224C6"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N/A</w:t>
            </w:r>
          </w:p>
        </w:tc>
      </w:tr>
      <w:tr w:rsidR="00A2134D" w:rsidRPr="00A2134D" w14:paraId="1E67D2FB" w14:textId="77777777" w:rsidTr="00D14110">
        <w:trPr>
          <w:trHeight w:val="567"/>
        </w:trPr>
        <w:tc>
          <w:tcPr>
            <w:tcW w:w="3256" w:type="dxa"/>
            <w:vAlign w:val="center"/>
          </w:tcPr>
          <w:p w14:paraId="6909F560"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Claims Settlement Bases</w:t>
            </w:r>
          </w:p>
        </w:tc>
        <w:tc>
          <w:tcPr>
            <w:tcW w:w="7274" w:type="dxa"/>
            <w:vAlign w:val="center"/>
          </w:tcPr>
          <w:p w14:paraId="3E174967"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Indemnity against legally liable Damages and Defence costs</w:t>
            </w:r>
          </w:p>
        </w:tc>
      </w:tr>
      <w:tr w:rsidR="00A2134D" w:rsidRPr="00A2134D" w14:paraId="6F858FA9" w14:textId="77777777" w:rsidTr="00D14110">
        <w:trPr>
          <w:trHeight w:val="567"/>
        </w:trPr>
        <w:tc>
          <w:tcPr>
            <w:tcW w:w="3256" w:type="dxa"/>
            <w:vAlign w:val="center"/>
          </w:tcPr>
          <w:p w14:paraId="1015A381"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Frequently Challenged Policy Terms</w:t>
            </w:r>
          </w:p>
        </w:tc>
        <w:tc>
          <w:tcPr>
            <w:tcW w:w="7274" w:type="dxa"/>
            <w:vAlign w:val="center"/>
          </w:tcPr>
          <w:p w14:paraId="292E47CF"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None</w:t>
            </w:r>
          </w:p>
        </w:tc>
      </w:tr>
      <w:tr w:rsidR="00A2134D" w:rsidRPr="00A2134D" w14:paraId="05F11680" w14:textId="77777777" w:rsidTr="00D14110">
        <w:trPr>
          <w:trHeight w:val="567"/>
        </w:trPr>
        <w:tc>
          <w:tcPr>
            <w:tcW w:w="3256" w:type="dxa"/>
            <w:vAlign w:val="center"/>
          </w:tcPr>
          <w:p w14:paraId="71E540D3"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Policy Length </w:t>
            </w:r>
          </w:p>
        </w:tc>
        <w:tc>
          <w:tcPr>
            <w:tcW w:w="7274" w:type="dxa"/>
            <w:vAlign w:val="center"/>
          </w:tcPr>
          <w:p w14:paraId="02F4D737"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Variable but usually annual ± odd time.</w:t>
            </w:r>
          </w:p>
        </w:tc>
      </w:tr>
      <w:tr w:rsidR="00A2134D" w:rsidRPr="00A2134D" w14:paraId="4371275E" w14:textId="77777777" w:rsidTr="00D14110">
        <w:trPr>
          <w:trHeight w:val="567"/>
        </w:trPr>
        <w:tc>
          <w:tcPr>
            <w:tcW w:w="3256" w:type="dxa"/>
            <w:vAlign w:val="center"/>
          </w:tcPr>
          <w:p w14:paraId="0CF8E4DA"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Policy Structure </w:t>
            </w:r>
          </w:p>
        </w:tc>
        <w:tc>
          <w:tcPr>
            <w:tcW w:w="7274" w:type="dxa"/>
            <w:vAlign w:val="center"/>
          </w:tcPr>
          <w:p w14:paraId="43703A16"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This product is to be sold to individual insureds.</w:t>
            </w:r>
          </w:p>
        </w:tc>
      </w:tr>
    </w:tbl>
    <w:p w14:paraId="67000C73"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3178"/>
        <w:gridCol w:w="6552"/>
      </w:tblGrid>
      <w:tr w:rsidR="00A2134D" w:rsidRPr="00A2134D" w14:paraId="4B3D47BB" w14:textId="77777777" w:rsidTr="00D14110">
        <w:trPr>
          <w:trHeight w:val="454"/>
        </w:trPr>
        <w:tc>
          <w:tcPr>
            <w:tcW w:w="9730" w:type="dxa"/>
            <w:gridSpan w:val="2"/>
            <w:shd w:val="clear" w:color="auto" w:fill="258F86"/>
            <w:vAlign w:val="center"/>
          </w:tcPr>
          <w:p w14:paraId="07EA86AD"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t>Target Market Analysis</w:t>
            </w:r>
          </w:p>
        </w:tc>
      </w:tr>
      <w:tr w:rsidR="00A2134D" w:rsidRPr="00A2134D" w14:paraId="03BE0962" w14:textId="77777777" w:rsidTr="00D14110">
        <w:trPr>
          <w:trHeight w:val="1020"/>
        </w:trPr>
        <w:tc>
          <w:tcPr>
            <w:tcW w:w="3178" w:type="dxa"/>
            <w:vAlign w:val="center"/>
          </w:tcPr>
          <w:p w14:paraId="08F5A335"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Product Complexity</w:t>
            </w:r>
          </w:p>
        </w:tc>
        <w:tc>
          <w:tcPr>
            <w:tcW w:w="6552" w:type="dxa"/>
            <w:vAlign w:val="center"/>
          </w:tcPr>
          <w:p w14:paraId="5282ECAA"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The technicality of this product and the intended distribution strategy is suitable for the intended target market. The wording and operation of the product has been designed to meet the needs and sophistication of commercial clients.</w:t>
            </w:r>
          </w:p>
        </w:tc>
      </w:tr>
      <w:tr w:rsidR="00A2134D" w:rsidRPr="00A2134D" w14:paraId="5A7010C2" w14:textId="77777777" w:rsidTr="00D14110">
        <w:trPr>
          <w:trHeight w:val="1020"/>
        </w:trPr>
        <w:tc>
          <w:tcPr>
            <w:tcW w:w="3178" w:type="dxa"/>
            <w:vAlign w:val="center"/>
          </w:tcPr>
          <w:p w14:paraId="2C7A9CFD"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Target Market</w:t>
            </w:r>
          </w:p>
        </w:tc>
        <w:tc>
          <w:tcPr>
            <w:tcW w:w="6552" w:type="dxa"/>
            <w:vAlign w:val="center"/>
          </w:tcPr>
          <w:p w14:paraId="76E56C13"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This product is intended for SME and Large UK commercial entities for a wide range of industry sectors.</w:t>
            </w:r>
          </w:p>
        </w:tc>
      </w:tr>
      <w:tr w:rsidR="00A2134D" w:rsidRPr="00A2134D" w14:paraId="0317FB43" w14:textId="77777777" w:rsidTr="00D14110">
        <w:trPr>
          <w:trHeight w:val="1020"/>
        </w:trPr>
        <w:tc>
          <w:tcPr>
            <w:tcW w:w="3178" w:type="dxa"/>
            <w:vAlign w:val="center"/>
          </w:tcPr>
          <w:p w14:paraId="183FC60F"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lastRenderedPageBreak/>
              <w:t>Risks associated with Target Market</w:t>
            </w:r>
          </w:p>
        </w:tc>
        <w:tc>
          <w:tcPr>
            <w:tcW w:w="6552" w:type="dxa"/>
            <w:vAlign w:val="center"/>
          </w:tcPr>
          <w:p w14:paraId="619DF049"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There are no material risks/vulnerabilities associated with the intended target market.</w:t>
            </w:r>
          </w:p>
        </w:tc>
      </w:tr>
      <w:tr w:rsidR="00A2134D" w:rsidRPr="00A2134D" w14:paraId="391F4888" w14:textId="77777777" w:rsidTr="00D14110">
        <w:trPr>
          <w:trHeight w:val="1020"/>
        </w:trPr>
        <w:tc>
          <w:tcPr>
            <w:tcW w:w="3178" w:type="dxa"/>
            <w:vAlign w:val="center"/>
          </w:tcPr>
          <w:p w14:paraId="4A0EEB8B"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Product Unsuitability</w:t>
            </w:r>
          </w:p>
        </w:tc>
        <w:tc>
          <w:tcPr>
            <w:tcW w:w="6552" w:type="dxa"/>
            <w:vAlign w:val="center"/>
          </w:tcPr>
          <w:p w14:paraId="396F01CD"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The product is not suitable for consumers.</w:t>
            </w:r>
          </w:p>
          <w:p w14:paraId="72A4D8D5"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Consumers are defined as a natural person acting for purposes outside their trade or profession.</w:t>
            </w:r>
          </w:p>
        </w:tc>
      </w:tr>
    </w:tbl>
    <w:p w14:paraId="002E6B7E" w14:textId="77777777" w:rsidR="00A2134D" w:rsidRPr="00A2134D" w:rsidRDefault="00A2134D" w:rsidP="00A2134D">
      <w:pPr>
        <w:snapToGrid w:val="0"/>
        <w:spacing w:before="240" w:after="120"/>
        <w:rPr>
          <w:rFonts w:ascii="Arial" w:eastAsia="Arial" w:hAnsi="Arial" w:cs="Times New Roman"/>
          <w:b/>
          <w:color w:val="4D7F71"/>
          <w:sz w:val="22"/>
        </w:rPr>
      </w:pPr>
    </w:p>
    <w:p w14:paraId="0FDE6B56"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3182"/>
        <w:gridCol w:w="6548"/>
      </w:tblGrid>
      <w:tr w:rsidR="00A2134D" w:rsidRPr="00A2134D" w14:paraId="4055E881" w14:textId="77777777" w:rsidTr="00D14110">
        <w:trPr>
          <w:trHeight w:val="454"/>
        </w:trPr>
        <w:tc>
          <w:tcPr>
            <w:tcW w:w="9730" w:type="dxa"/>
            <w:gridSpan w:val="2"/>
            <w:shd w:val="clear" w:color="auto" w:fill="258F86"/>
            <w:vAlign w:val="center"/>
          </w:tcPr>
          <w:p w14:paraId="62C87C50"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t>Fair Value Assessment</w:t>
            </w:r>
          </w:p>
        </w:tc>
      </w:tr>
      <w:tr w:rsidR="00A2134D" w:rsidRPr="00A2134D" w14:paraId="0374ED2A" w14:textId="77777777" w:rsidTr="00D14110">
        <w:tc>
          <w:tcPr>
            <w:tcW w:w="3182" w:type="dxa"/>
            <w:vAlign w:val="center"/>
          </w:tcPr>
          <w:p w14:paraId="3AC567F1"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Fair Value Statement </w:t>
            </w:r>
          </w:p>
        </w:tc>
        <w:tc>
          <w:tcPr>
            <w:tcW w:w="6548" w:type="dxa"/>
          </w:tcPr>
          <w:p w14:paraId="4231628A"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Fair value means the relationship between the overall price paid by the end customer and the quality of the product(s) and/or service(s) received. </w:t>
            </w:r>
          </w:p>
          <w:p w14:paraId="7B9E27BD"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Our fair value assessment considers value measures such as: </w:t>
            </w:r>
          </w:p>
          <w:p w14:paraId="7D67752B"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Complaints </w:t>
            </w:r>
          </w:p>
          <w:p w14:paraId="0506E80A"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Broker feedback</w:t>
            </w:r>
          </w:p>
          <w:p w14:paraId="75006D05"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Commission and fees</w:t>
            </w:r>
          </w:p>
          <w:p w14:paraId="2C634B29"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Staff remuneration</w:t>
            </w:r>
          </w:p>
          <w:p w14:paraId="78471E69"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Pricing models</w:t>
            </w:r>
          </w:p>
          <w:p w14:paraId="5B669D07"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Claims stats</w:t>
            </w:r>
          </w:p>
          <w:p w14:paraId="0AA2EB31"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Cancellation rates</w:t>
            </w:r>
          </w:p>
          <w:p w14:paraId="27255B84" w14:textId="77777777" w:rsidR="00A2134D" w:rsidRPr="00A2134D" w:rsidRDefault="00A2134D" w:rsidP="00A2134D">
            <w:pPr>
              <w:numPr>
                <w:ilvl w:val="0"/>
                <w:numId w:val="42"/>
              </w:num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Premium finance arrangements</w:t>
            </w:r>
          </w:p>
          <w:p w14:paraId="5F34B0F1" w14:textId="77777777" w:rsidR="00A2134D" w:rsidRPr="00A2134D" w:rsidRDefault="00A2134D" w:rsidP="00A2134D">
            <w:pPr>
              <w:snapToGrid w:val="0"/>
              <w:spacing w:before="120" w:after="120"/>
              <w:rPr>
                <w:rFonts w:ascii="Arial" w:eastAsia="Arial" w:hAnsi="Arial" w:cs="Times New Roman"/>
                <w:bCs/>
                <w:color w:val="000000"/>
                <w:sz w:val="24"/>
              </w:rPr>
            </w:pPr>
            <w:r w:rsidRPr="00A2134D">
              <w:rPr>
                <w:rFonts w:ascii="Arial" w:eastAsia="Arial" w:hAnsi="Arial" w:cs="Times New Roman"/>
                <w:bCs/>
                <w:color w:val="000000"/>
                <w:sz w:val="20"/>
                <w:szCs w:val="20"/>
              </w:rPr>
              <w:t>Based on our assessment of the above metrics we conclude that the product provides fair value to the target market.</w:t>
            </w:r>
          </w:p>
        </w:tc>
      </w:tr>
      <w:tr w:rsidR="00A2134D" w:rsidRPr="00A2134D" w14:paraId="219C002B" w14:textId="77777777" w:rsidTr="00D14110">
        <w:trPr>
          <w:trHeight w:val="850"/>
        </w:trPr>
        <w:tc>
          <w:tcPr>
            <w:tcW w:w="3182" w:type="dxa"/>
            <w:vAlign w:val="center"/>
          </w:tcPr>
          <w:p w14:paraId="37BB0F0B"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Distribution Chain Value</w:t>
            </w:r>
          </w:p>
        </w:tc>
        <w:tc>
          <w:tcPr>
            <w:tcW w:w="6548" w:type="dxa"/>
            <w:vAlign w:val="center"/>
          </w:tcPr>
          <w:p w14:paraId="1E3CE7F9" w14:textId="77777777" w:rsidR="00A2134D" w:rsidRPr="00A2134D" w:rsidRDefault="00A2134D" w:rsidP="00A2134D">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The distribution strategy represents value for money, commissions and fees reflect services rendered and there are no superfluous intermediaries in the chain. The overall method of distribution is cost effective (refer to commissions/fees and price setting above).</w:t>
            </w:r>
          </w:p>
        </w:tc>
      </w:tr>
      <w:tr w:rsidR="00A2134D" w:rsidRPr="00A2134D" w14:paraId="6A70ACFA" w14:textId="77777777" w:rsidTr="00D14110">
        <w:trPr>
          <w:trHeight w:val="850"/>
        </w:trPr>
        <w:tc>
          <w:tcPr>
            <w:tcW w:w="3182" w:type="dxa"/>
            <w:vAlign w:val="center"/>
          </w:tcPr>
          <w:p w14:paraId="78BF3ABF"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Remuneration / Sales Incentives</w:t>
            </w:r>
          </w:p>
        </w:tc>
        <w:tc>
          <w:tcPr>
            <w:tcW w:w="6548" w:type="dxa"/>
            <w:vAlign w:val="center"/>
          </w:tcPr>
          <w:p w14:paraId="5B3DBC61" w14:textId="77777777" w:rsidR="00A2134D" w:rsidRPr="00A2134D" w:rsidRDefault="00A2134D" w:rsidP="008A4351">
            <w:pPr>
              <w:snapToGrid w:val="0"/>
              <w:spacing w:before="120" w:after="120"/>
              <w:rPr>
                <w:rFonts w:ascii="Arial" w:eastAsia="Arial" w:hAnsi="Arial" w:cs="Times New Roman"/>
                <w:bCs/>
                <w:color w:val="000000"/>
                <w:sz w:val="20"/>
                <w:szCs w:val="20"/>
              </w:rPr>
            </w:pPr>
            <w:r w:rsidRPr="00A2134D">
              <w:rPr>
                <w:rFonts w:ascii="Arial" w:eastAsia="Arial" w:hAnsi="Arial" w:cs="Times New Roman"/>
                <w:bCs/>
                <w:color w:val="000000"/>
                <w:sz w:val="20"/>
                <w:szCs w:val="20"/>
              </w:rPr>
              <w:t xml:space="preserve">Volume dependent remuneration should be avoided and must not conflict with the best interests of the customer. </w:t>
            </w:r>
          </w:p>
        </w:tc>
      </w:tr>
      <w:tr w:rsidR="00A2134D" w:rsidRPr="00A2134D" w14:paraId="544B8163" w14:textId="77777777" w:rsidTr="00D14110">
        <w:trPr>
          <w:trHeight w:val="850"/>
        </w:trPr>
        <w:tc>
          <w:tcPr>
            <w:tcW w:w="3182" w:type="dxa"/>
            <w:vAlign w:val="center"/>
          </w:tcPr>
          <w:p w14:paraId="7FA8E78E"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Premium Finance Arrangements </w:t>
            </w:r>
          </w:p>
        </w:tc>
        <w:tc>
          <w:tcPr>
            <w:tcW w:w="6548" w:type="dxa"/>
            <w:vAlign w:val="center"/>
          </w:tcPr>
          <w:p w14:paraId="0DC832A4" w14:textId="77777777" w:rsidR="00A2134D" w:rsidRPr="00A2134D" w:rsidRDefault="00A2134D" w:rsidP="00A2134D">
            <w:pPr>
              <w:snapToGrid w:val="0"/>
              <w:spacing w:before="120" w:after="120"/>
              <w:rPr>
                <w:rFonts w:ascii="Arial" w:eastAsia="Arial" w:hAnsi="Arial" w:cs="Times New Roman"/>
                <w:bCs/>
                <w:color w:val="4D7F71"/>
                <w:sz w:val="20"/>
                <w:szCs w:val="20"/>
              </w:rPr>
            </w:pPr>
            <w:r w:rsidRPr="00A2134D">
              <w:rPr>
                <w:rFonts w:ascii="Arial" w:eastAsia="Arial" w:hAnsi="Arial" w:cs="Times New Roman"/>
                <w:bCs/>
                <w:color w:val="000000"/>
                <w:sz w:val="20"/>
                <w:szCs w:val="20"/>
              </w:rPr>
              <w:t>Premium finance arrangements are subject to approval by Convex Insurance UK Limited.</w:t>
            </w:r>
          </w:p>
        </w:tc>
      </w:tr>
    </w:tbl>
    <w:p w14:paraId="6FAF9B90" w14:textId="77777777" w:rsidR="00A2134D" w:rsidRDefault="00A2134D" w:rsidP="00A2134D">
      <w:pPr>
        <w:snapToGrid w:val="0"/>
        <w:spacing w:before="240" w:after="120"/>
        <w:rPr>
          <w:rFonts w:ascii="Arial" w:eastAsia="Arial" w:hAnsi="Arial" w:cs="Times New Roman"/>
          <w:b/>
          <w:color w:val="4D7F71"/>
          <w:sz w:val="22"/>
        </w:rPr>
      </w:pPr>
    </w:p>
    <w:p w14:paraId="0994531A" w14:textId="77777777" w:rsidR="00A2134D" w:rsidRDefault="00A2134D" w:rsidP="00A2134D">
      <w:pPr>
        <w:snapToGrid w:val="0"/>
        <w:spacing w:before="240" w:after="120"/>
        <w:rPr>
          <w:rFonts w:ascii="Arial" w:eastAsia="Arial" w:hAnsi="Arial" w:cs="Times New Roman"/>
          <w:b/>
          <w:color w:val="4D7F71"/>
          <w:sz w:val="22"/>
        </w:rPr>
      </w:pPr>
    </w:p>
    <w:p w14:paraId="5CF91615"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3267"/>
        <w:gridCol w:w="6463"/>
      </w:tblGrid>
      <w:tr w:rsidR="00A2134D" w:rsidRPr="00A2134D" w14:paraId="117FAD28" w14:textId="77777777" w:rsidTr="00D14110">
        <w:trPr>
          <w:trHeight w:val="454"/>
        </w:trPr>
        <w:tc>
          <w:tcPr>
            <w:tcW w:w="9730" w:type="dxa"/>
            <w:gridSpan w:val="2"/>
            <w:shd w:val="clear" w:color="auto" w:fill="258F86"/>
            <w:vAlign w:val="center"/>
          </w:tcPr>
          <w:p w14:paraId="3EEFD308"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lastRenderedPageBreak/>
              <w:t>Distribution Strategy</w:t>
            </w:r>
          </w:p>
        </w:tc>
      </w:tr>
      <w:tr w:rsidR="00A2134D" w:rsidRPr="00A2134D" w14:paraId="6A4A647C" w14:textId="77777777" w:rsidTr="00D14110">
        <w:trPr>
          <w:trHeight w:val="850"/>
        </w:trPr>
        <w:tc>
          <w:tcPr>
            <w:tcW w:w="3267" w:type="dxa"/>
            <w:vAlign w:val="center"/>
          </w:tcPr>
          <w:p w14:paraId="6A228370"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Approved Distribution Channels</w:t>
            </w:r>
          </w:p>
        </w:tc>
        <w:tc>
          <w:tcPr>
            <w:tcW w:w="6463" w:type="dxa"/>
            <w:vAlign w:val="center"/>
          </w:tcPr>
          <w:p w14:paraId="49194A76"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The distribution channel is via a select number of UK regulated intermediaries only.</w:t>
            </w:r>
          </w:p>
        </w:tc>
      </w:tr>
      <w:tr w:rsidR="00A2134D" w:rsidRPr="00A2134D" w14:paraId="6A6FB84E" w14:textId="77777777" w:rsidTr="00D14110">
        <w:trPr>
          <w:trHeight w:val="850"/>
        </w:trPr>
        <w:tc>
          <w:tcPr>
            <w:tcW w:w="3267" w:type="dxa"/>
            <w:vAlign w:val="center"/>
          </w:tcPr>
          <w:p w14:paraId="42FDDE29"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Special Distribution/Servicing Arrangements </w:t>
            </w:r>
          </w:p>
        </w:tc>
        <w:tc>
          <w:tcPr>
            <w:tcW w:w="6463" w:type="dxa"/>
            <w:vAlign w:val="center"/>
          </w:tcPr>
          <w:p w14:paraId="2040A110"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N/A</w:t>
            </w:r>
          </w:p>
        </w:tc>
      </w:tr>
      <w:tr w:rsidR="00A2134D" w:rsidRPr="00A2134D" w14:paraId="4819371A" w14:textId="77777777" w:rsidTr="00D14110">
        <w:trPr>
          <w:trHeight w:val="850"/>
        </w:trPr>
        <w:tc>
          <w:tcPr>
            <w:tcW w:w="3267" w:type="dxa"/>
            <w:vAlign w:val="center"/>
          </w:tcPr>
          <w:p w14:paraId="5AFE6BD7"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Delegated Authority</w:t>
            </w:r>
          </w:p>
        </w:tc>
        <w:tc>
          <w:tcPr>
            <w:tcW w:w="6463" w:type="dxa"/>
            <w:vAlign w:val="center"/>
          </w:tcPr>
          <w:p w14:paraId="6D7BF956"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This product is suitable for distribution via delegated authority subject to approval by Convex and the terms of a Binding Authority Agreement.</w:t>
            </w:r>
          </w:p>
        </w:tc>
      </w:tr>
      <w:tr w:rsidR="00A2134D" w:rsidRPr="00A2134D" w14:paraId="0E139B99" w14:textId="77777777" w:rsidTr="00D14110">
        <w:trPr>
          <w:trHeight w:val="850"/>
        </w:trPr>
        <w:tc>
          <w:tcPr>
            <w:tcW w:w="3267" w:type="dxa"/>
            <w:vAlign w:val="center"/>
          </w:tcPr>
          <w:p w14:paraId="0A63B8A4"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Sales Type</w:t>
            </w:r>
          </w:p>
        </w:tc>
        <w:tc>
          <w:tcPr>
            <w:tcW w:w="6463" w:type="dxa"/>
            <w:vAlign w:val="center"/>
          </w:tcPr>
          <w:p w14:paraId="2EAF170A"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This product is to be sold on an advised basis only.</w:t>
            </w:r>
          </w:p>
        </w:tc>
      </w:tr>
      <w:tr w:rsidR="00A2134D" w:rsidRPr="00A2134D" w14:paraId="171005FB" w14:textId="77777777" w:rsidTr="00D14110">
        <w:trPr>
          <w:trHeight w:val="850"/>
        </w:trPr>
        <w:tc>
          <w:tcPr>
            <w:tcW w:w="3267" w:type="dxa"/>
            <w:vAlign w:val="center"/>
          </w:tcPr>
          <w:p w14:paraId="21450291" w14:textId="77777777" w:rsidR="00A2134D" w:rsidRPr="00A2134D" w:rsidRDefault="00A2134D" w:rsidP="00A2134D">
            <w:pPr>
              <w:snapToGrid w:val="0"/>
              <w:spacing w:after="0"/>
              <w:rPr>
                <w:rFonts w:ascii="Arial" w:eastAsia="Arial" w:hAnsi="Arial" w:cs="Times New Roman"/>
                <w:b/>
                <w:color w:val="258F86"/>
                <w:sz w:val="20"/>
                <w:szCs w:val="20"/>
              </w:rPr>
            </w:pPr>
            <w:r w:rsidRPr="00A2134D">
              <w:rPr>
                <w:rFonts w:ascii="Arial" w:eastAsia="Arial" w:hAnsi="Arial" w:cs="Times New Roman"/>
                <w:b/>
                <w:color w:val="258F86"/>
                <w:sz w:val="20"/>
                <w:szCs w:val="20"/>
              </w:rPr>
              <w:t xml:space="preserve">Online Sales </w:t>
            </w:r>
          </w:p>
        </w:tc>
        <w:tc>
          <w:tcPr>
            <w:tcW w:w="6463" w:type="dxa"/>
            <w:vAlign w:val="center"/>
          </w:tcPr>
          <w:p w14:paraId="6F80412D"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This product may be distributed via online sales.</w:t>
            </w:r>
          </w:p>
          <w:p w14:paraId="265146A6" w14:textId="77777777" w:rsidR="00A2134D" w:rsidRPr="00A2134D" w:rsidRDefault="00A2134D" w:rsidP="00A2134D">
            <w:pPr>
              <w:snapToGrid w:val="0"/>
              <w:spacing w:before="120" w:after="120"/>
              <w:rPr>
                <w:rFonts w:ascii="Arial" w:eastAsia="Arial" w:hAnsi="Arial" w:cs="Times New Roman"/>
                <w:color w:val="000000"/>
                <w:sz w:val="20"/>
                <w:szCs w:val="20"/>
              </w:rPr>
            </w:pPr>
            <w:r w:rsidRPr="00A2134D">
              <w:rPr>
                <w:rFonts w:ascii="Arial" w:eastAsia="Arial" w:hAnsi="Arial" w:cs="Times New Roman"/>
                <w:color w:val="000000"/>
                <w:sz w:val="20"/>
                <w:szCs w:val="20"/>
              </w:rPr>
              <w:t>All marketing materials must be formally reviewed for regulatory compliance by the distributor prior to publication.</w:t>
            </w:r>
          </w:p>
        </w:tc>
      </w:tr>
    </w:tbl>
    <w:p w14:paraId="5CC22016" w14:textId="77777777" w:rsidR="00A2134D" w:rsidRPr="00A2134D" w:rsidRDefault="00A2134D" w:rsidP="00A2134D">
      <w:pPr>
        <w:snapToGrid w:val="0"/>
        <w:spacing w:before="240" w:after="120"/>
        <w:rPr>
          <w:rFonts w:ascii="Arial" w:eastAsia="Arial" w:hAnsi="Arial" w:cs="Times New Roman"/>
          <w:b/>
          <w:color w:val="4D7F71"/>
          <w:sz w:val="22"/>
        </w:rPr>
      </w:pPr>
    </w:p>
    <w:tbl>
      <w:tblPr>
        <w:tblStyle w:val="TableGrid2"/>
        <w:tblW w:w="0" w:type="auto"/>
        <w:tblBorders>
          <w:top w:val="single" w:sz="4" w:space="0" w:color="134F49"/>
          <w:left w:val="single" w:sz="4" w:space="0" w:color="134F49"/>
          <w:bottom w:val="single" w:sz="4" w:space="0" w:color="134F49"/>
          <w:right w:val="single" w:sz="4" w:space="0" w:color="134F49"/>
          <w:insideH w:val="single" w:sz="4" w:space="0" w:color="134F49"/>
          <w:insideV w:val="single" w:sz="4" w:space="0" w:color="134F49"/>
        </w:tblBorders>
        <w:tblLook w:val="04A0" w:firstRow="1" w:lastRow="0" w:firstColumn="1" w:lastColumn="0" w:noHBand="0" w:noVBand="1"/>
      </w:tblPr>
      <w:tblGrid>
        <w:gridCol w:w="9730"/>
      </w:tblGrid>
      <w:tr w:rsidR="00A2134D" w:rsidRPr="00A2134D" w14:paraId="5B6B0FDC" w14:textId="77777777" w:rsidTr="00D14110">
        <w:trPr>
          <w:trHeight w:val="454"/>
        </w:trPr>
        <w:tc>
          <w:tcPr>
            <w:tcW w:w="9730" w:type="dxa"/>
            <w:shd w:val="clear" w:color="auto" w:fill="258F86"/>
            <w:vAlign w:val="center"/>
          </w:tcPr>
          <w:p w14:paraId="1E55C4C9" w14:textId="77777777" w:rsidR="00A2134D" w:rsidRPr="00A2134D" w:rsidRDefault="00A2134D" w:rsidP="00A2134D">
            <w:pPr>
              <w:snapToGrid w:val="0"/>
              <w:spacing w:after="0"/>
              <w:jc w:val="center"/>
              <w:rPr>
                <w:rFonts w:ascii="Arial" w:eastAsia="Arial" w:hAnsi="Arial" w:cs="Times New Roman"/>
                <w:b/>
                <w:color w:val="4D7F71"/>
                <w:sz w:val="24"/>
              </w:rPr>
            </w:pPr>
            <w:r w:rsidRPr="00A2134D">
              <w:rPr>
                <w:rFonts w:ascii="Arial" w:eastAsia="Arial" w:hAnsi="Arial" w:cs="Times New Roman"/>
                <w:b/>
                <w:color w:val="FFFFFF"/>
                <w:sz w:val="24"/>
              </w:rPr>
              <w:t>Conflicts &amp; Risks</w:t>
            </w:r>
          </w:p>
        </w:tc>
      </w:tr>
      <w:tr w:rsidR="00A2134D" w:rsidRPr="00A2134D" w14:paraId="4CCB1DEC" w14:textId="77777777" w:rsidTr="00D14110">
        <w:tc>
          <w:tcPr>
            <w:tcW w:w="9730" w:type="dxa"/>
            <w:vAlign w:val="center"/>
          </w:tcPr>
          <w:p w14:paraId="79FF357C" w14:textId="77777777" w:rsidR="00A2134D" w:rsidRDefault="00A2134D" w:rsidP="00A2134D">
            <w:pPr>
              <w:snapToGrid w:val="0"/>
              <w:spacing w:before="240" w:after="0"/>
              <w:rPr>
                <w:rFonts w:ascii="Arial" w:eastAsia="Arial" w:hAnsi="Arial" w:cs="Times New Roman"/>
                <w:color w:val="000000"/>
                <w:sz w:val="20"/>
                <w:szCs w:val="28"/>
              </w:rPr>
            </w:pPr>
            <w:r w:rsidRPr="00A2134D">
              <w:rPr>
                <w:rFonts w:ascii="Arial" w:eastAsia="Arial" w:hAnsi="Arial" w:cs="Times New Roman"/>
                <w:color w:val="000000"/>
                <w:sz w:val="20"/>
                <w:szCs w:val="28"/>
              </w:rPr>
              <w:t>No conflicts or risks identified. Where a conflict is identified by the distributor it must be mitigated appropriately, recorded, and communicated to Convex.</w:t>
            </w:r>
          </w:p>
          <w:p w14:paraId="354C57A5" w14:textId="77777777" w:rsidR="00A2134D" w:rsidRPr="00A2134D" w:rsidRDefault="00A2134D" w:rsidP="00A2134D">
            <w:pPr>
              <w:snapToGrid w:val="0"/>
              <w:spacing w:before="240" w:after="0"/>
              <w:rPr>
                <w:rFonts w:ascii="Arial" w:eastAsia="Arial" w:hAnsi="Arial" w:cs="Times New Roman"/>
                <w:color w:val="000000"/>
              </w:rPr>
            </w:pPr>
          </w:p>
        </w:tc>
      </w:tr>
    </w:tbl>
    <w:p w14:paraId="2747BD6E" w14:textId="77777777" w:rsidR="00A2134D" w:rsidRPr="00A2134D" w:rsidRDefault="00A2134D" w:rsidP="00A2134D">
      <w:pPr>
        <w:snapToGrid w:val="0"/>
        <w:spacing w:before="240" w:after="120"/>
        <w:rPr>
          <w:rFonts w:ascii="Arial" w:eastAsia="Arial" w:hAnsi="Arial" w:cs="Times New Roman"/>
          <w:b/>
          <w:color w:val="4D7F71"/>
          <w:sz w:val="22"/>
        </w:rPr>
      </w:pPr>
    </w:p>
    <w:p w14:paraId="063ADE82" w14:textId="77777777" w:rsidR="00A2134D" w:rsidRPr="00A2134D" w:rsidRDefault="00A2134D" w:rsidP="00A2134D">
      <w:pPr>
        <w:snapToGrid w:val="0"/>
        <w:spacing w:before="240" w:after="120"/>
        <w:rPr>
          <w:rFonts w:ascii="Arial" w:eastAsia="Arial" w:hAnsi="Arial" w:cs="Times New Roman"/>
          <w:b/>
          <w:color w:val="4D7F71"/>
          <w:sz w:val="22"/>
        </w:rPr>
      </w:pPr>
    </w:p>
    <w:p w14:paraId="3949A1A6" w14:textId="77777777" w:rsidR="000D056A" w:rsidRDefault="000D056A" w:rsidP="005E7F20">
      <w:pPr>
        <w:pStyle w:val="6ConvexBodyCopy"/>
        <w:sectPr w:rsidR="000D056A" w:rsidSect="00483A82">
          <w:headerReference w:type="default" r:id="rId10"/>
          <w:footerReference w:type="default" r:id="rId11"/>
          <w:pgSz w:w="11900" w:h="16840"/>
          <w:pgMar w:top="1440" w:right="1080" w:bottom="1440" w:left="1080" w:header="680" w:footer="397" w:gutter="0"/>
          <w:cols w:space="720"/>
          <w:docGrid w:linePitch="360"/>
        </w:sectPr>
      </w:pPr>
    </w:p>
    <w:p w14:paraId="58CB3831" w14:textId="77777777" w:rsidR="00C973D4" w:rsidRDefault="008D619A" w:rsidP="005E7F20">
      <w:pPr>
        <w:pStyle w:val="6ConvexBodyCopy"/>
      </w:pPr>
      <w:r w:rsidRPr="002C41FA">
        <w:rPr>
          <w:noProof/>
          <w:lang w:eastAsia="en-GB"/>
        </w:rPr>
        <w:lastRenderedPageBreak/>
        <mc:AlternateContent>
          <mc:Choice Requires="wps">
            <w:drawing>
              <wp:anchor distT="0" distB="0" distL="114300" distR="114300" simplePos="0" relativeHeight="251672576" behindDoc="0" locked="0" layoutInCell="0" allowOverlap="1" wp14:anchorId="32E59A2A" wp14:editId="2D57FE39">
                <wp:simplePos x="0" y="0"/>
                <wp:positionH relativeFrom="page">
                  <wp:posOffset>431800</wp:posOffset>
                </wp:positionH>
                <wp:positionV relativeFrom="page">
                  <wp:posOffset>3575050</wp:posOffset>
                </wp:positionV>
                <wp:extent cx="4097160" cy="5907600"/>
                <wp:effectExtent l="0" t="0" r="5080" b="10795"/>
                <wp:wrapTight wrapText="bothSides">
                  <wp:wrapPolygon edited="0">
                    <wp:start x="0" y="0"/>
                    <wp:lineTo x="0" y="21593"/>
                    <wp:lineTo x="21560" y="21593"/>
                    <wp:lineTo x="21560" y="0"/>
                    <wp:lineTo x="0" y="0"/>
                  </wp:wrapPolygon>
                </wp:wrapTight>
                <wp:docPr id="11"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097160" cy="5907600"/>
                        </a:xfrm>
                        <a:prstGeom prst="rect">
                          <a:avLst/>
                        </a:prstGeom>
                        <a:noFill/>
                        <a:ln>
                          <a:noFill/>
                        </a:ln>
                      </wps:spPr>
                      <wps:txbx>
                        <w:txbxContent>
                          <w:p w14:paraId="5A4059D7" w14:textId="77777777" w:rsidR="008D619A" w:rsidRDefault="008D619A" w:rsidP="008D619A">
                            <w:pPr>
                              <w:snapToGrid w:val="0"/>
                              <w:rPr>
                                <w:b/>
                                <w:bCs/>
                                <w:color w:val="FFFFFF" w:themeColor="background1"/>
                              </w:rPr>
                            </w:pPr>
                            <w:r>
                              <w:rPr>
                                <w:b/>
                                <w:bCs/>
                                <w:noProof/>
                                <w:color w:val="FFFFFF" w:themeColor="background1"/>
                                <w:lang w:val="en-US"/>
                              </w:rPr>
                              <w:drawing>
                                <wp:inline distT="0" distB="0" distL="0" distR="0" wp14:anchorId="19F412C8" wp14:editId="438140C6">
                                  <wp:extent cx="1270000" cy="673100"/>
                                  <wp:effectExtent l="0" t="0" r="0"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descr="Logo, company name&#10;&#10;Description automatically generated"/>
                                          <pic:cNvPicPr/>
                                        </pic:nvPicPr>
                                        <pic:blipFill>
                                          <a:blip r:embed="rId12"/>
                                          <a:stretch>
                                            <a:fillRect/>
                                          </a:stretch>
                                        </pic:blipFill>
                                        <pic:spPr>
                                          <a:xfrm>
                                            <a:off x="0" y="0"/>
                                            <a:ext cx="1270000" cy="673100"/>
                                          </a:xfrm>
                                          <a:prstGeom prst="rect">
                                            <a:avLst/>
                                          </a:prstGeom>
                                        </pic:spPr>
                                      </pic:pic>
                                    </a:graphicData>
                                  </a:graphic>
                                </wp:inline>
                              </w:drawing>
                            </w:r>
                          </w:p>
                          <w:p w14:paraId="71C38523" w14:textId="77777777" w:rsidR="008D619A" w:rsidRPr="002A4AF3" w:rsidRDefault="008D619A" w:rsidP="008D619A">
                            <w:pPr>
                              <w:pStyle w:val="91ConvexBCCompanyNames"/>
                              <w:spacing w:before="0"/>
                              <w:rPr>
                                <w:color w:val="FFFFFF"/>
                              </w:rPr>
                            </w:pPr>
                            <w:r w:rsidRPr="002A4AF3">
                              <w:t>Convex Re Limited</w:t>
                            </w:r>
                          </w:p>
                          <w:p w14:paraId="74D78F77" w14:textId="77777777" w:rsidR="008D619A" w:rsidRPr="005A2F36" w:rsidRDefault="008D619A" w:rsidP="008D619A">
                            <w:pPr>
                              <w:pStyle w:val="92ConvexBCCompanyAddress"/>
                            </w:pPr>
                            <w:r w:rsidRPr="005A2F36">
                              <w:t xml:space="preserve">Point House, 6th Floor, 6 Front Street, </w:t>
                            </w:r>
                            <w:r w:rsidRPr="005A2F36">
                              <w:br/>
                              <w:t>Hamilton HM 11, Bermuda</w:t>
                            </w:r>
                          </w:p>
                          <w:p w14:paraId="0CA7BCE6" w14:textId="77777777" w:rsidR="008D619A" w:rsidRPr="002A4AF3" w:rsidRDefault="008D619A" w:rsidP="008D619A">
                            <w:pPr>
                              <w:pStyle w:val="91ConvexBCCompanyNames"/>
                            </w:pPr>
                            <w:r w:rsidRPr="002A4AF3">
                              <w:t>Convex Insurance UK Limited</w:t>
                            </w:r>
                          </w:p>
                          <w:p w14:paraId="1A066FFD" w14:textId="77777777" w:rsidR="008D619A" w:rsidRPr="005A2F36" w:rsidRDefault="008D619A" w:rsidP="008D619A">
                            <w:pPr>
                              <w:pStyle w:val="92ConvexBCCompanyAddress"/>
                            </w:pPr>
                            <w:r w:rsidRPr="005A2F36">
                              <w:t>52 Lime Street, London, EC3M 7AF</w:t>
                            </w:r>
                          </w:p>
                          <w:p w14:paraId="04030BBD" w14:textId="77777777" w:rsidR="008D619A" w:rsidRPr="002A4AF3" w:rsidRDefault="008D619A" w:rsidP="008D619A">
                            <w:pPr>
                              <w:pStyle w:val="91ConvexBCCompanyNames"/>
                            </w:pPr>
                            <w:r w:rsidRPr="002A4AF3">
                              <w:t>Convex Europe S.A.</w:t>
                            </w:r>
                          </w:p>
                          <w:p w14:paraId="03E60870" w14:textId="77777777" w:rsidR="00D2290B" w:rsidRDefault="00ED0961" w:rsidP="00ED0961">
                            <w:pPr>
                              <w:snapToGrid w:val="0"/>
                              <w:spacing w:after="120"/>
                              <w:rPr>
                                <w:color w:val="FFFFFF" w:themeColor="background1"/>
                                <w:sz w:val="20"/>
                                <w:szCs w:val="20"/>
                              </w:rPr>
                            </w:pPr>
                            <w:r w:rsidRPr="00ED0961">
                              <w:rPr>
                                <w:color w:val="FFFFFF" w:themeColor="background1"/>
                                <w:sz w:val="20"/>
                                <w:szCs w:val="20"/>
                              </w:rPr>
                              <w:t xml:space="preserve">37 Boulevard Joseph II, </w:t>
                            </w:r>
                            <w:r>
                              <w:rPr>
                                <w:color w:val="FFFFFF" w:themeColor="background1"/>
                                <w:sz w:val="20"/>
                                <w:szCs w:val="20"/>
                              </w:rPr>
                              <w:br/>
                            </w:r>
                            <w:r w:rsidRPr="00ED0961">
                              <w:rPr>
                                <w:color w:val="FFFFFF" w:themeColor="background1"/>
                                <w:sz w:val="20"/>
                                <w:szCs w:val="20"/>
                              </w:rPr>
                              <w:t>2ème étage, L-1840 Luxembourg,</w:t>
                            </w:r>
                            <w:r>
                              <w:rPr>
                                <w:color w:val="FFFFFF" w:themeColor="background1"/>
                                <w:sz w:val="20"/>
                                <w:szCs w:val="20"/>
                              </w:rPr>
                              <w:t xml:space="preserve"> </w:t>
                            </w:r>
                            <w:r w:rsidR="00D2290B">
                              <w:rPr>
                                <w:color w:val="FFFFFF" w:themeColor="background1"/>
                                <w:sz w:val="20"/>
                                <w:szCs w:val="20"/>
                              </w:rPr>
                              <w:br/>
                            </w:r>
                            <w:r w:rsidR="00D2290B" w:rsidRPr="00147549">
                              <w:rPr>
                                <w:color w:val="FFFFFF" w:themeColor="background1"/>
                                <w:sz w:val="20"/>
                                <w:szCs w:val="20"/>
                              </w:rPr>
                              <w:t>Grand-Duchy of Luxembourg</w:t>
                            </w:r>
                          </w:p>
                          <w:p w14:paraId="2ADE5BB3" w14:textId="77777777" w:rsidR="008D619A" w:rsidRPr="008245DF" w:rsidRDefault="008D619A" w:rsidP="008D619A">
                            <w:pPr>
                              <w:pStyle w:val="91ConvexBCCompanyNames"/>
                            </w:pPr>
                            <w:r w:rsidRPr="00251406">
                              <w:t>Convex Europe S.A. UK Branch</w:t>
                            </w:r>
                          </w:p>
                          <w:p w14:paraId="2F709F8B" w14:textId="77777777" w:rsidR="008D619A" w:rsidRPr="008245DF" w:rsidRDefault="008D619A" w:rsidP="008D619A">
                            <w:pPr>
                              <w:pStyle w:val="92ConvexBCCompanyAddress"/>
                            </w:pPr>
                            <w:r w:rsidRPr="00251406">
                              <w:t>52 Lime Street, London, EC3M 7AF</w:t>
                            </w:r>
                          </w:p>
                          <w:p w14:paraId="0EA57635" w14:textId="77777777" w:rsidR="008D619A" w:rsidRPr="004D6E7B" w:rsidRDefault="008D619A" w:rsidP="008D619A">
                            <w:pPr>
                              <w:pStyle w:val="91ConvexBCCompanyNames"/>
                            </w:pPr>
                            <w:r w:rsidRPr="002A4AF3">
                              <w:t>Convex Guernsey Limited</w:t>
                            </w:r>
                          </w:p>
                          <w:p w14:paraId="7CB49981" w14:textId="77777777" w:rsidR="008D619A" w:rsidRDefault="008D619A" w:rsidP="008D619A">
                            <w:pPr>
                              <w:pStyle w:val="92ConvexBCCompanyAddress"/>
                            </w:pPr>
                            <w:r w:rsidRPr="005A2F36">
                              <w:t>Bucktrout House, Glategny Esplanade, St Peter Port,</w:t>
                            </w:r>
                            <w:r w:rsidRPr="005A2F36">
                              <w:br/>
                              <w:t>Guernsey, GY1 1WR</w:t>
                            </w:r>
                          </w:p>
                          <w:p w14:paraId="3771EA4B" w14:textId="77777777" w:rsidR="008D619A" w:rsidRPr="009B62E6" w:rsidRDefault="008D619A" w:rsidP="008D619A">
                            <w:pPr>
                              <w:pStyle w:val="91ConvexBCCompanyNames"/>
                            </w:pPr>
                            <w:r w:rsidRPr="003E1591">
                              <w:t>Convex North America Insurance Services LLC</w:t>
                            </w:r>
                          </w:p>
                          <w:p w14:paraId="2835FF9C" w14:textId="77777777" w:rsidR="002521A3" w:rsidRDefault="002521A3" w:rsidP="008D619A">
                            <w:pPr>
                              <w:snapToGrid w:val="0"/>
                              <w:spacing w:after="120"/>
                              <w:rPr>
                                <w:color w:val="FFFFFF" w:themeColor="background1"/>
                                <w:sz w:val="20"/>
                                <w:szCs w:val="20"/>
                              </w:rPr>
                            </w:pPr>
                            <w:r w:rsidRPr="002521A3">
                              <w:rPr>
                                <w:color w:val="FFFFFF" w:themeColor="background1"/>
                                <w:sz w:val="20"/>
                                <w:szCs w:val="20"/>
                              </w:rPr>
                              <w:t>47 Hulfish Street, Suite 310, Princeton, NJ 08542</w:t>
                            </w:r>
                          </w:p>
                          <w:p w14:paraId="3A9BDEA3" w14:textId="77777777" w:rsidR="008D619A" w:rsidRPr="00111889" w:rsidRDefault="008D619A" w:rsidP="008D619A">
                            <w:pPr>
                              <w:pStyle w:val="93ConvexBCWebaddress"/>
                            </w:pPr>
                            <w:r w:rsidRPr="00296C98">
                              <w:t>convexin.com</w:t>
                            </w:r>
                          </w:p>
                        </w:txbxContent>
                      </wps:txbx>
                      <wps:bodyPr rot="0" vert="horz" wrap="square" lIns="0" tIns="0" rIns="0" bIns="0" anchor="b" anchorCtr="0" upright="1">
                        <a:noAutofit/>
                      </wps:bodyPr>
                    </wps:wsp>
                  </a:graphicData>
                </a:graphic>
                <wp14:sizeRelH relativeFrom="margin">
                  <wp14:pctWidth>0</wp14:pctWidth>
                </wp14:sizeRelH>
                <wp14:sizeRelV relativeFrom="margin">
                  <wp14:pctHeight>0</wp14:pctHeight>
                </wp14:sizeRelV>
              </wp:anchor>
            </w:drawing>
          </mc:Choice>
          <mc:Fallback>
            <w:pict>
              <v:shape w14:anchorId="32E59A2A" id="Text Box 28" o:spid="_x0000_s1027" type="#_x0000_t202" style="position:absolute;margin-left:34pt;margin-top:281.5pt;width:322.6pt;height:465.15pt;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" o:allowincell="f" filled="f" stroked="f">
                <v:textbox inset="0,0,0,0">
                  <w:txbxContent>
                    <w:p w14:paraId="5A4059D7" w14:textId="77777777" w:rsidR="008D619A" w:rsidRDefault="008D619A" w:rsidP="008D619A">
                      <w:pPr>
                        <w:snapToGrid w:val="0"/>
                        <w:rPr>
                          <w:b/>
                          <w:bCs/>
                          <w:color w:val="FFFFFF" w:themeColor="background1"/>
                        </w:rPr>
                      </w:pPr>
                      <w:r>
                        <w:rPr>
                          <w:b/>
                          <w:bCs/>
                          <w:noProof/>
                          <w:color w:val="FFFFFF" w:themeColor="background1"/>
                          <w:lang w:val="en-US"/>
                        </w:rPr>
                        <w:drawing>
                          <wp:inline distT="0" distB="0" distL="0" distR="0" wp14:anchorId="19F412C8" wp14:editId="438140C6">
                            <wp:extent cx="1270000" cy="673100"/>
                            <wp:effectExtent l="0" t="0" r="0"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1" descr="Logo, company name&#10;&#10;Description automatically generated"/>
                                    <pic:cNvPicPr/>
                                  </pic:nvPicPr>
                                  <pic:blipFill>
                                    <a:blip r:embed="rId12"/>
                                    <a:stretch>
                                      <a:fillRect/>
                                    </a:stretch>
                                  </pic:blipFill>
                                  <pic:spPr>
                                    <a:xfrm>
                                      <a:off x="0" y="0"/>
                                      <a:ext cx="1270000" cy="673100"/>
                                    </a:xfrm>
                                    <a:prstGeom prst="rect">
                                      <a:avLst/>
                                    </a:prstGeom>
                                  </pic:spPr>
                                </pic:pic>
                              </a:graphicData>
                            </a:graphic>
                          </wp:inline>
                        </w:drawing>
                      </w:r>
                    </w:p>
                    <w:p w14:paraId="71C38523" w14:textId="77777777" w:rsidR="008D619A" w:rsidRPr="002A4AF3" w:rsidRDefault="008D619A" w:rsidP="008D619A">
                      <w:pPr>
                        <w:pStyle w:val="91ConvexBCCompanyNames"/>
                        <w:spacing w:before="0"/>
                        <w:rPr>
                          <w:color w:val="FFFFFF"/>
                        </w:rPr>
                      </w:pPr>
                      <w:r w:rsidRPr="002A4AF3">
                        <w:t>Convex Re Limited</w:t>
                      </w:r>
                    </w:p>
                    <w:p w14:paraId="74D78F77" w14:textId="77777777" w:rsidR="008D619A" w:rsidRPr="005A2F36" w:rsidRDefault="008D619A" w:rsidP="008D619A">
                      <w:pPr>
                        <w:pStyle w:val="92ConvexBCCompanyAddress"/>
                      </w:pPr>
                      <w:r w:rsidRPr="005A2F36">
                        <w:t xml:space="preserve">Point House, 6th Floor, 6 Front Street, </w:t>
                      </w:r>
                      <w:r w:rsidRPr="005A2F36">
                        <w:br/>
                        <w:t>Hamilton HM 11, Bermuda</w:t>
                      </w:r>
                    </w:p>
                    <w:p w14:paraId="0CA7BCE6" w14:textId="77777777" w:rsidR="008D619A" w:rsidRPr="002A4AF3" w:rsidRDefault="008D619A" w:rsidP="008D619A">
                      <w:pPr>
                        <w:pStyle w:val="91ConvexBCCompanyNames"/>
                      </w:pPr>
                      <w:r w:rsidRPr="002A4AF3">
                        <w:t>Convex Insurance UK Limited</w:t>
                      </w:r>
                    </w:p>
                    <w:p w14:paraId="1A066FFD" w14:textId="77777777" w:rsidR="008D619A" w:rsidRPr="005A2F36" w:rsidRDefault="008D619A" w:rsidP="008D619A">
                      <w:pPr>
                        <w:pStyle w:val="92ConvexBCCompanyAddress"/>
                      </w:pPr>
                      <w:r w:rsidRPr="005A2F36">
                        <w:t>52 Lime Street, London, EC3M 7AF</w:t>
                      </w:r>
                    </w:p>
                    <w:p w14:paraId="04030BBD" w14:textId="77777777" w:rsidR="008D619A" w:rsidRPr="002A4AF3" w:rsidRDefault="008D619A" w:rsidP="008D619A">
                      <w:pPr>
                        <w:pStyle w:val="91ConvexBCCompanyNames"/>
                      </w:pPr>
                      <w:r w:rsidRPr="002A4AF3">
                        <w:t>Convex Europe S.A.</w:t>
                      </w:r>
                    </w:p>
                    <w:p w14:paraId="03E60870" w14:textId="77777777" w:rsidR="00D2290B" w:rsidRDefault="00ED0961" w:rsidP="00ED0961">
                      <w:pPr>
                        <w:snapToGrid w:val="0"/>
                        <w:spacing w:after="120"/>
                        <w:rPr>
                          <w:color w:val="FFFFFF" w:themeColor="background1"/>
                          <w:sz w:val="20"/>
                          <w:szCs w:val="20"/>
                        </w:rPr>
                      </w:pPr>
                      <w:r w:rsidRPr="00ED0961">
                        <w:rPr>
                          <w:color w:val="FFFFFF" w:themeColor="background1"/>
                          <w:sz w:val="20"/>
                          <w:szCs w:val="20"/>
                        </w:rPr>
                        <w:t xml:space="preserve">37 Boulevard Joseph II, </w:t>
                      </w:r>
                      <w:r>
                        <w:rPr>
                          <w:color w:val="FFFFFF" w:themeColor="background1"/>
                          <w:sz w:val="20"/>
                          <w:szCs w:val="20"/>
                        </w:rPr>
                        <w:br/>
                      </w:r>
                      <w:r w:rsidRPr="00ED0961">
                        <w:rPr>
                          <w:color w:val="FFFFFF" w:themeColor="background1"/>
                          <w:sz w:val="20"/>
                          <w:szCs w:val="20"/>
                        </w:rPr>
                        <w:t>2ème étage, L-1840 Luxembourg,</w:t>
                      </w:r>
                      <w:r>
                        <w:rPr>
                          <w:color w:val="FFFFFF" w:themeColor="background1"/>
                          <w:sz w:val="20"/>
                          <w:szCs w:val="20"/>
                        </w:rPr>
                        <w:t xml:space="preserve"> </w:t>
                      </w:r>
                      <w:r w:rsidR="00D2290B">
                        <w:rPr>
                          <w:color w:val="FFFFFF" w:themeColor="background1"/>
                          <w:sz w:val="20"/>
                          <w:szCs w:val="20"/>
                        </w:rPr>
                        <w:br/>
                      </w:r>
                      <w:r w:rsidR="00D2290B" w:rsidRPr="00147549">
                        <w:rPr>
                          <w:color w:val="FFFFFF" w:themeColor="background1"/>
                          <w:sz w:val="20"/>
                          <w:szCs w:val="20"/>
                        </w:rPr>
                        <w:t>Grand-Duchy of Luxembourg</w:t>
                      </w:r>
                    </w:p>
                    <w:p w14:paraId="2ADE5BB3" w14:textId="77777777" w:rsidR="008D619A" w:rsidRPr="008245DF" w:rsidRDefault="008D619A" w:rsidP="008D619A">
                      <w:pPr>
                        <w:pStyle w:val="91ConvexBCCompanyNames"/>
                      </w:pPr>
                      <w:r w:rsidRPr="00251406">
                        <w:t>Convex Europe S.A. UK Branch</w:t>
                      </w:r>
                    </w:p>
                    <w:p w14:paraId="2F709F8B" w14:textId="77777777" w:rsidR="008D619A" w:rsidRPr="008245DF" w:rsidRDefault="008D619A" w:rsidP="008D619A">
                      <w:pPr>
                        <w:pStyle w:val="92ConvexBCCompanyAddress"/>
                      </w:pPr>
                      <w:r w:rsidRPr="00251406">
                        <w:t>52 Lime Street, London, EC3M 7AF</w:t>
                      </w:r>
                    </w:p>
                    <w:p w14:paraId="0EA57635" w14:textId="77777777" w:rsidR="008D619A" w:rsidRPr="004D6E7B" w:rsidRDefault="008D619A" w:rsidP="008D619A">
                      <w:pPr>
                        <w:pStyle w:val="91ConvexBCCompanyNames"/>
                      </w:pPr>
                      <w:r w:rsidRPr="002A4AF3">
                        <w:t>Convex Guernsey Limited</w:t>
                      </w:r>
                    </w:p>
                    <w:p w14:paraId="7CB49981" w14:textId="77777777" w:rsidR="008D619A" w:rsidRDefault="008D619A" w:rsidP="008D619A">
                      <w:pPr>
                        <w:pStyle w:val="92ConvexBCCompanyAddress"/>
                      </w:pPr>
                      <w:r w:rsidRPr="005A2F36">
                        <w:t>Bucktrout House, Glategny Esplanade, St Peter Port,</w:t>
                      </w:r>
                      <w:r w:rsidRPr="005A2F36">
                        <w:br/>
                        <w:t>Guernsey, GY1 1WR</w:t>
                      </w:r>
                    </w:p>
                    <w:p w14:paraId="3771EA4B" w14:textId="77777777" w:rsidR="008D619A" w:rsidRPr="009B62E6" w:rsidRDefault="008D619A" w:rsidP="008D619A">
                      <w:pPr>
                        <w:pStyle w:val="91ConvexBCCompanyNames"/>
                      </w:pPr>
                      <w:r w:rsidRPr="003E1591">
                        <w:t>Convex North America Insurance Services LLC</w:t>
                      </w:r>
                    </w:p>
                    <w:p w14:paraId="2835FF9C" w14:textId="77777777" w:rsidR="002521A3" w:rsidRDefault="002521A3" w:rsidP="008D619A">
                      <w:pPr>
                        <w:snapToGrid w:val="0"/>
                        <w:spacing w:after="120"/>
                        <w:rPr>
                          <w:color w:val="FFFFFF" w:themeColor="background1"/>
                          <w:sz w:val="20"/>
                          <w:szCs w:val="20"/>
                        </w:rPr>
                      </w:pPr>
                      <w:r w:rsidRPr="002521A3">
                        <w:rPr>
                          <w:color w:val="FFFFFF" w:themeColor="background1"/>
                          <w:sz w:val="20"/>
                          <w:szCs w:val="20"/>
                        </w:rPr>
                        <w:t>47 Hulfish Street, Suite 310, Princeton, NJ 08542</w:t>
                      </w:r>
                    </w:p>
                    <w:p w14:paraId="3A9BDEA3" w14:textId="77777777" w:rsidR="008D619A" w:rsidRPr="00111889" w:rsidRDefault="008D619A" w:rsidP="008D619A">
                      <w:pPr>
                        <w:pStyle w:val="93ConvexBCWebaddress"/>
                      </w:pPr>
                      <w:r w:rsidRPr="00296C98">
                        <w:t>convexin.com</w:t>
                      </w:r>
                    </w:p>
                  </w:txbxContent>
                </v:textbox>
                <w10:wrap type="tight" anchorx="page" anchory="page"/>
              </v:shape>
            </w:pict>
          </mc:Fallback>
        </mc:AlternateContent>
      </w:r>
      <w:r w:rsidR="00A232D5">
        <w:rPr>
          <w:noProof/>
          <w:lang w:val="en-US"/>
        </w:rPr>
        <mc:AlternateContent>
          <mc:Choice Requires="wps">
            <w:drawing>
              <wp:anchor distT="0" distB="0" distL="114300" distR="114300" simplePos="0" relativeHeight="251670528" behindDoc="0" locked="0" layoutInCell="1" allowOverlap="1" wp14:anchorId="23C096B1" wp14:editId="2E61D0CE">
                <wp:simplePos x="0" y="0"/>
                <wp:positionH relativeFrom="column">
                  <wp:posOffset>3634470</wp:posOffset>
                </wp:positionH>
                <wp:positionV relativeFrom="paragraph">
                  <wp:posOffset>-4609320</wp:posOffset>
                </wp:positionV>
                <wp:extent cx="3146762" cy="1103411"/>
                <wp:effectExtent l="0" t="0" r="15875" b="14605"/>
                <wp:wrapNone/>
                <wp:docPr id="6" name="Text Box 6"/>
                <wp:cNvGraphicFramePr/>
                <a:graphic xmlns:a="http://schemas.openxmlformats.org/drawingml/2006/main">
                  <a:graphicData uri="http://schemas.microsoft.com/office/word/2010/wordprocessingShape">
                    <wps:wsp>
                      <wps:cNvSpPr txBox="1"/>
                      <wps:spPr>
                        <a:xfrm>
                          <a:off x="0" y="0"/>
                          <a:ext cx="3146762" cy="1103411"/>
                        </a:xfrm>
                        <a:prstGeom prst="rect">
                          <a:avLst/>
                        </a:prstGeom>
                        <a:noFill/>
                        <a:ln w="6350">
                          <a:solidFill>
                            <a:prstClr val="black"/>
                          </a:solidFill>
                        </a:ln>
                      </wps:spPr>
                      <wps:txbx>
                        <w:txbxContent>
                          <w:p w14:paraId="369C6417" w14:textId="77777777" w:rsidR="00A232D5" w:rsidRPr="006A60D0" w:rsidRDefault="00A232D5" w:rsidP="006A60D0">
                            <w:pPr>
                              <w:pStyle w:val="9ConvexFooterText"/>
                            </w:pPr>
                            <w:r w:rsidRPr="006A60D0">
                              <w:t>Convex Group is the trading name of Convex Group Limited, a company incorporated in Bermuda, and the ultimate parent company of the Convex Group of companies, as follows: Convex Re Limited, a company incorporated in Bermuda, which is a wholly-owned subsidiary of Convex Group Limited and licensed and supervised by the Bermuda Monetary Authority; Convex Insurance UK Limited, a company incorporated in England &amp; Wales, which is a wholly-owned subsidiary of Convex Re Limited and authorised by the Prudential Regulation Authority (PRA) and regulated by the Financial Conduct Authority and the PRA; and Convex UK Services Limited, a company incorporated in England &amp; Wales, which is a wholly</w:t>
                            </w:r>
                            <w:r w:rsidRPr="006A60D0">
                              <w:rPr>
                                <w:rFonts w:ascii="Cambria Math" w:hAnsi="Cambria Math" w:cs="Cambria Math"/>
                              </w:rPr>
                              <w:t>‑</w:t>
                            </w:r>
                            <w:r w:rsidRPr="006A60D0">
                              <w:t>owned subsidiary of Convex Group Limited.</w:t>
                            </w:r>
                          </w:p>
                          <w:p w14:paraId="28B89A34" w14:textId="77777777" w:rsidR="00A232D5" w:rsidRPr="006A60D0" w:rsidRDefault="00A232D5" w:rsidP="006A60D0">
                            <w:pPr>
                              <w:pStyle w:val="9ConvexFooterText"/>
                            </w:pPr>
                            <w:r w:rsidRPr="006A60D0">
                              <w:t>The content of this presentation is the property of Convex Group and is strictly confidential.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3C096B1" id="Text Box 6" o:spid="_x0000_s1028" type="#_x0000_t202" style="position:absolute;margin-left:286.2pt;margin-top:-362.95pt;width:247.8pt;height:86.9pt;z-index:2516705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" filled="f" strokeweight=".5pt">
                <v:textbox>
                  <w:txbxContent>
                    <w:p w14:paraId="369C6417" w14:textId="77777777" w:rsidR="00A232D5" w:rsidRPr="006A60D0" w:rsidRDefault="00A232D5" w:rsidP="006A60D0">
                      <w:pPr>
                        <w:pStyle w:val="9ConvexFooterText"/>
                      </w:pPr>
                      <w:r w:rsidRPr="006A60D0">
                        <w:t>Convex Group is the trading name of Convex Group Limited, a company incorporated in Bermuda, and the ultimate parent company of the Convex Group of companies, as follows: Convex Re Limited, a company incorporated in Bermuda, which is a wholly-owned subsidiary of Convex Group Limited and licensed and supervised by the Bermuda Monetary Authority; Convex Insurance UK Limited, a company incorporated in England &amp; Wales, which is a wholly-owned subsidiary of Convex Re Limited and authorised by the Prudential Regulation Authority (PRA) and regulated by the Financial Conduct Authority and the PRA; and Convex UK Services Limited, a company incorporated in England &amp; Wales, which is a wholly</w:t>
                      </w:r>
                      <w:r w:rsidRPr="006A60D0">
                        <w:rPr>
                          <w:rFonts w:ascii="Cambria Math" w:hAnsi="Cambria Math" w:cs="Cambria Math"/>
                        </w:rPr>
                        <w:t>‑</w:t>
                      </w:r>
                      <w:r w:rsidRPr="006A60D0">
                        <w:t>owned subsidiary of Convex Group Limited.</w:t>
                      </w:r>
                    </w:p>
                    <w:p w14:paraId="28B89A34" w14:textId="77777777" w:rsidR="00A232D5" w:rsidRPr="006A60D0" w:rsidRDefault="00A232D5" w:rsidP="006A60D0">
                      <w:pPr>
                        <w:pStyle w:val="9ConvexFooterText"/>
                      </w:pPr>
                      <w:r w:rsidRPr="006A60D0">
                        <w:t>The content of this presentation is the property of Convex Group and is strictly confidential.</w:t>
                      </w:r>
                    </w:p>
                  </w:txbxContent>
                </v:textbox>
              </v:shape>
            </w:pict>
          </mc:Fallback>
        </mc:AlternateContent>
      </w:r>
      <w:r w:rsidR="00702E87">
        <w:rPr>
          <w:noProof/>
          <w:lang w:val="en-US"/>
        </w:rPr>
        <mc:AlternateContent>
          <mc:Choice Requires="wps">
            <w:drawing>
              <wp:anchor distT="0" distB="0" distL="114300" distR="114300" simplePos="0" relativeHeight="251667456" behindDoc="0" locked="0" layoutInCell="0" allowOverlap="1" wp14:anchorId="799433C4" wp14:editId="4592EA9A">
                <wp:simplePos x="0" y="0"/>
                <wp:positionH relativeFrom="page">
                  <wp:posOffset>431800</wp:posOffset>
                </wp:positionH>
                <wp:positionV relativeFrom="page">
                  <wp:posOffset>10387330</wp:posOffset>
                </wp:positionV>
                <wp:extent cx="4097160" cy="127800"/>
                <wp:effectExtent l="0" t="0" r="0" b="0"/>
                <wp:wrapTight wrapText="bothSides">
                  <wp:wrapPolygon edited="0">
                    <wp:start x="0" y="0"/>
                    <wp:lineTo x="0" y="21493"/>
                    <wp:lineTo x="21560" y="21493"/>
                    <wp:lineTo x="21560" y="0"/>
                    <wp:lineTo x="0" y="0"/>
                  </wp:wrapPolygon>
                </wp:wrapTight>
                <wp:docPr id="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097160" cy="12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265C26E1" w14:textId="4EF6EC8E" w:rsidR="00702E87" w:rsidRPr="0093305F" w:rsidRDefault="001A5A08" w:rsidP="00702E87">
                            <w:pPr>
                              <w:pStyle w:val="81ConvexQuoteAuthor"/>
                              <w:spacing w:after="0"/>
                              <w:rPr>
                                <w:b w:val="0"/>
                                <w:bCs/>
                                <w:color w:val="FFFFFF" w:themeColor="background1"/>
                                <w:sz w:val="10"/>
                                <w:szCs w:val="10"/>
                              </w:rPr>
                            </w:pPr>
                            <w:r>
                              <w:rPr>
                                <w:b w:val="0"/>
                                <w:bCs/>
                                <w:color w:val="FFFFFF" w:themeColor="background1"/>
                                <w:sz w:val="10"/>
                                <w:szCs w:val="10"/>
                              </w:rPr>
                              <w:t>25_05_Product Passport</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9433C4" id="_x0000_s1029" type="#_x0000_t202" style="position:absolute;margin-left:34pt;margin-top:817.9pt;width:322.6pt;height:10.0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" o:allowincell="f" filled="f" stroked="f" strokeweight=".5pt">
                <v:path arrowok="t"/>
                <v:textbox inset="0,0,0,0">
                  <w:txbxContent>
                    <w:p w14:paraId="265C26E1" w14:textId="4EF6EC8E" w:rsidR="00702E87" w:rsidRPr="0093305F" w:rsidRDefault="001A5A08" w:rsidP="00702E87">
                      <w:pPr>
                        <w:pStyle w:val="81ConvexQuoteAuthor"/>
                        <w:spacing w:after="0"/>
                        <w:rPr>
                          <w:b w:val="0"/>
                          <w:bCs/>
                          <w:color w:val="FFFFFF" w:themeColor="background1"/>
                          <w:sz w:val="10"/>
                          <w:szCs w:val="10"/>
                        </w:rPr>
                      </w:pPr>
                      <w:r>
                        <w:rPr>
                          <w:b w:val="0"/>
                          <w:bCs/>
                          <w:color w:val="FFFFFF" w:themeColor="background1"/>
                          <w:sz w:val="10"/>
                          <w:szCs w:val="10"/>
                        </w:rPr>
                        <w:t>25_05_Product Passport</w:t>
                      </w:r>
                    </w:p>
                  </w:txbxContent>
                </v:textbox>
                <w10:wrap type="tight" anchorx="page" anchory="page"/>
              </v:shape>
            </w:pict>
          </mc:Fallback>
        </mc:AlternateContent>
      </w:r>
    </w:p>
    <w:sectPr w:rsidR="00C973D4" w:rsidSect="00D73843">
      <w:headerReference w:type="default" r:id="rId13"/>
      <w:footerReference w:type="default" r:id="rId14"/>
      <w:pgSz w:w="11900" w:h="16840"/>
      <w:pgMar w:top="2835" w:right="680" w:bottom="1701" w:left="680" w:header="680"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AD3CA1" w14:textId="77777777" w:rsidR="00EF37C8" w:rsidRDefault="00EF37C8" w:rsidP="006E744D">
      <w:r>
        <w:separator/>
      </w:r>
    </w:p>
  </w:endnote>
  <w:endnote w:type="continuationSeparator" w:id="0">
    <w:p w14:paraId="0D2B4AC1" w14:textId="77777777" w:rsidR="00EF37C8" w:rsidRDefault="00EF37C8" w:rsidP="006E7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Cambria Math">
    <w:panose1 w:val="02040503050406030204"/>
    <w:charset w:val="00"/>
    <w:family w:val="roman"/>
    <w:pitch w:val="variable"/>
    <w:sig w:usb0="E00002FF" w:usb1="420024FF" w:usb2="00000000" w:usb3="00000000" w:csb0="0000019F" w:csb1="00000000"/>
  </w:font>
  <w:font w:name="Times New Roman (Body CS)">
    <w:panose1 w:val="020B06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4355D" w14:textId="77777777" w:rsidR="00A2134D" w:rsidRPr="00A2134D" w:rsidRDefault="00A2134D" w:rsidP="005E7F20">
    <w:pPr>
      <w:pStyle w:val="Footer"/>
      <w:adjustRightInd w:val="0"/>
      <w:snapToGrid w:val="0"/>
      <w:ind w:firstLine="360"/>
      <w:rPr>
        <w:color w:val="FFFFFF"/>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274315" w14:textId="31B33D50" w:rsidR="00BA1969" w:rsidRPr="0039306F" w:rsidRDefault="00483A82" w:rsidP="0039306F">
    <w:pPr>
      <w:pStyle w:val="Footer"/>
      <w:tabs>
        <w:tab w:val="clear" w:pos="4513"/>
        <w:tab w:val="clear" w:pos="9026"/>
        <w:tab w:val="right" w:pos="10540"/>
      </w:tabs>
      <w:adjustRightInd w:val="0"/>
      <w:snapToGrid w:val="0"/>
      <w:ind w:firstLine="360"/>
      <w:rPr>
        <w:color w:val="FFFFFF"/>
        <w:szCs w:val="18"/>
      </w:rPr>
    </w:pPr>
    <w:r>
      <w:rPr>
        <w:noProof/>
        <w:lang w:val="en-US"/>
      </w:rPr>
      <w:drawing>
        <wp:anchor distT="0" distB="0" distL="114300" distR="114300" simplePos="0" relativeHeight="251670528" behindDoc="1" locked="0" layoutInCell="1" allowOverlap="1" wp14:anchorId="424A5522" wp14:editId="05F0DE04">
          <wp:simplePos x="0" y="0"/>
          <wp:positionH relativeFrom="page">
            <wp:posOffset>0</wp:posOffset>
          </wp:positionH>
          <wp:positionV relativeFrom="page">
            <wp:posOffset>10081895</wp:posOffset>
          </wp:positionV>
          <wp:extent cx="7555230" cy="609600"/>
          <wp:effectExtent l="0" t="0" r="0" b="0"/>
          <wp:wrapNone/>
          <wp:docPr id="37"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5230" cy="609600"/>
                  </a:xfrm>
                  <a:prstGeom prst="rect">
                    <a:avLst/>
                  </a:prstGeom>
                  <a:noFill/>
                </pic:spPr>
              </pic:pic>
            </a:graphicData>
          </a:graphic>
          <wp14:sizeRelH relativeFrom="page">
            <wp14:pctWidth>0</wp14:pctWidth>
          </wp14:sizeRelH>
          <wp14:sizeRelV relativeFrom="page">
            <wp14:pctHeight>0</wp14:pctHeight>
          </wp14:sizeRelV>
        </wp:anchor>
      </w:drawing>
    </w:r>
    <w:r w:rsidR="0039306F" w:rsidRPr="000A4A6B">
      <w:rPr>
        <w:noProof/>
        <w:color w:val="FFFFFF"/>
        <w:szCs w:val="18"/>
        <w:lang w:val="en-US"/>
      </w:rPr>
      <w:t xml:space="preserve"> </w:t>
    </w:r>
    <w:r w:rsidR="0039306F" w:rsidRPr="00323AEA">
      <w:rPr>
        <w:color w:val="FFFFFF"/>
        <w:szCs w:val="18"/>
      </w:rPr>
      <w:tab/>
    </w:r>
  </w:p>
  <w:p w14:paraId="44A3187F" w14:textId="77777777" w:rsidR="00483A82" w:rsidRPr="00D33704" w:rsidRDefault="00483A82" w:rsidP="00F40955">
    <w:pPr>
      <w:pStyle w:val="Footer"/>
      <w:framePr w:wrap="none" w:vAnchor="text" w:hAnchor="page" w:x="659" w:y="403"/>
      <w:rPr>
        <w:rStyle w:val="PageNumber"/>
      </w:rPr>
    </w:pPr>
    <w:r w:rsidRPr="000A4A6B">
      <w:rPr>
        <w:rStyle w:val="PageNumber"/>
        <w:color w:val="FFFFFF"/>
        <w:szCs w:val="18"/>
      </w:rPr>
      <w:fldChar w:fldCharType="begin"/>
    </w:r>
    <w:r w:rsidRPr="000A4A6B">
      <w:rPr>
        <w:rStyle w:val="PageNumber"/>
        <w:color w:val="FFFFFF"/>
        <w:szCs w:val="18"/>
      </w:rPr>
      <w:instrText xml:space="preserve"> PAGE </w:instrText>
    </w:r>
    <w:r w:rsidRPr="000A4A6B">
      <w:rPr>
        <w:rStyle w:val="PageNumber"/>
        <w:color w:val="FFFFFF"/>
        <w:szCs w:val="18"/>
      </w:rPr>
      <w:fldChar w:fldCharType="separate"/>
    </w:r>
    <w:r>
      <w:rPr>
        <w:rStyle w:val="PageNumber"/>
        <w:color w:val="FFFFFF"/>
        <w:szCs w:val="18"/>
      </w:rPr>
      <w:t>1</w:t>
    </w:r>
    <w:r w:rsidRPr="000A4A6B">
      <w:rPr>
        <w:rStyle w:val="PageNumber"/>
        <w:color w:val="FFFFFF"/>
        <w:szCs w:val="18"/>
      </w:rPr>
      <w:fldChar w:fldCharType="end"/>
    </w:r>
  </w:p>
  <w:p w14:paraId="196F2A8F" w14:textId="1FACA845" w:rsidR="0057751D" w:rsidRDefault="00483A82">
    <w:r>
      <w:rPr>
        <w:noProof/>
      </w:rPr>
      <mc:AlternateContent>
        <mc:Choice Requires="wps">
          <w:drawing>
            <wp:anchor distT="0" distB="0" distL="114300" distR="114300" simplePos="0" relativeHeight="251675648" behindDoc="0" locked="0" layoutInCell="1" allowOverlap="1" wp14:anchorId="3DC02354" wp14:editId="1675B090">
              <wp:simplePos x="0" y="0"/>
              <wp:positionH relativeFrom="column">
                <wp:posOffset>5228266</wp:posOffset>
              </wp:positionH>
              <wp:positionV relativeFrom="paragraph">
                <wp:posOffset>177111</wp:posOffset>
              </wp:positionV>
              <wp:extent cx="1517515" cy="243191"/>
              <wp:effectExtent l="0" t="0" r="0" b="0"/>
              <wp:wrapNone/>
              <wp:docPr id="1610451606" name="Text Box 5"/>
              <wp:cNvGraphicFramePr/>
              <a:graphic xmlns:a="http://schemas.openxmlformats.org/drawingml/2006/main">
                <a:graphicData uri="http://schemas.microsoft.com/office/word/2010/wordprocessingShape">
                  <wps:wsp>
                    <wps:cNvSpPr txBox="1"/>
                    <wps:spPr>
                      <a:xfrm>
                        <a:off x="0" y="0"/>
                        <a:ext cx="1517515" cy="243191"/>
                      </a:xfrm>
                      <a:prstGeom prst="rect">
                        <a:avLst/>
                      </a:prstGeom>
                      <a:noFill/>
                      <a:ln w="6350">
                        <a:noFill/>
                      </a:ln>
                    </wps:spPr>
                    <wps:txbx>
                      <w:txbxContent>
                        <w:p w14:paraId="3D35D1D5" w14:textId="04E467F7" w:rsidR="00483A82" w:rsidRPr="00A2134D" w:rsidRDefault="00483A82">
                          <w:pPr>
                            <w:rPr>
                              <w:color w:val="FFFFFF"/>
                            </w:rPr>
                          </w:pPr>
                          <w:r w:rsidRPr="00A2134D">
                            <w:rPr>
                              <w:color w:val="FFFFFF"/>
                            </w:rPr>
                            <w:t>Convex Product Passport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DC02354" id="_x0000_t202" coordsize="21600,21600" o:spt="202" path="m,l,21600r21600,l21600,xe">
              <v:stroke joinstyle="miter"/>
              <v:path gradientshapeok="t" o:connecttype="rect"/>
            </v:shapetype>
            <v:shape id="Text Box 5" o:spid="_x0000_s1030" type="#_x0000_t202" style="position:absolute;margin-left:411.65pt;margin-top:13.95pt;width:119.5pt;height:19.15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" filled="f" stroked="f" strokeweight=".5pt">
              <v:textbox>
                <w:txbxContent>
                  <w:p w14:paraId="3D35D1D5" w14:textId="04E467F7" w:rsidR="00483A82" w:rsidRPr="00A2134D" w:rsidRDefault="00483A82">
                    <w:pPr>
                      <w:rPr>
                        <w:color w:val="FFFFFF"/>
                      </w:rPr>
                    </w:pPr>
                    <w:r w:rsidRPr="00A2134D">
                      <w:rPr>
                        <w:color w:val="FFFFFF"/>
                      </w:rPr>
                      <w:t>Convex Product Passport</w:t>
                    </w:r>
                  </w:p>
                </w:txbxContent>
              </v:textbox>
            </v:shape>
          </w:pict>
        </mc:Fallback>
      </mc:AlternateContent>
    </w:r>
  </w:p>
  <w:p w14:paraId="770857DA" w14:textId="77777777" w:rsidR="00000000" w:rsidRDefault="00000000"/>
  <w:p w14:paraId="0DE96AF3" w14:textId="77777777" w:rsidR="00000000" w:rsidRDefault="0000000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F8497" w14:textId="77777777" w:rsidR="008D619A" w:rsidRPr="00DB6998" w:rsidRDefault="008D619A" w:rsidP="008D619A">
    <w:pPr>
      <w:pStyle w:val="Footer"/>
      <w:spacing w:after="170"/>
      <w:rPr>
        <w:rFonts w:cs="Times New Roman (Body CS)"/>
        <w:spacing w:val="-2"/>
      </w:rPr>
    </w:pPr>
    <w:r w:rsidRPr="00C21168">
      <w:rPr>
        <w:rFonts w:cs="Times New Roman (Body CS)"/>
        <w:color w:val="FFFFFF" w:themeColor="background1"/>
        <w:sz w:val="11"/>
        <w:szCs w:val="11"/>
      </w:rPr>
      <w:t>Convex Group is the trading name of Convex Group Limited, a company incorporated in Bermuda, and the ultimate parent company of the Convex Group of companies, which includes the following regulated entities:</w:t>
    </w:r>
    <w:r w:rsidRPr="00C21168">
      <w:rPr>
        <w:rFonts w:cs="Times New Roman (Body CS)"/>
        <w:color w:val="FFFFFF" w:themeColor="background1"/>
        <w:spacing w:val="-2"/>
        <w:sz w:val="11"/>
        <w:szCs w:val="11"/>
      </w:rPr>
      <w:t xml:space="preserve"> </w:t>
    </w:r>
    <w:r>
      <w:rPr>
        <w:rFonts w:cs="Times New Roman (Body CS)"/>
        <w:color w:val="FFFFFF" w:themeColor="background1"/>
        <w:spacing w:val="-2"/>
        <w:sz w:val="11"/>
        <w:szCs w:val="11"/>
      </w:rPr>
      <w:br/>
    </w:r>
    <w:r w:rsidRPr="00C21168">
      <w:rPr>
        <w:rFonts w:cs="Times New Roman (Body CS)"/>
        <w:color w:val="FFFFFF" w:themeColor="background1"/>
        <w:spacing w:val="-2"/>
        <w:sz w:val="11"/>
        <w:szCs w:val="11"/>
      </w:rPr>
      <w:t xml:space="preserve">Convex Re Limited, a company incorporated in Bermuda which is licensed and supervised by the Bermuda Monetary Authority; Convex Insurance UK Limited, a company incorporated in England &amp; Wales which is authorised by the </w:t>
    </w:r>
    <w:r w:rsidRPr="00C21168">
      <w:rPr>
        <w:rFonts w:cs="Times New Roman (Body CS)"/>
        <w:color w:val="FFFFFF" w:themeColor="background1"/>
        <w:sz w:val="11"/>
        <w:szCs w:val="11"/>
      </w:rPr>
      <w:t xml:space="preserve">Prudential Regulation Authority (PRA) and regulated by the Financial Conduct Authority (FCA) and the PRA; Convex North America Insurance Services LLC, a company incorporated in Delaware which is a </w:t>
    </w:r>
    <w:r>
      <w:rPr>
        <w:rFonts w:cs="Times New Roman (Body CS)"/>
        <w:color w:val="FFFFFF" w:themeColor="background1"/>
        <w:sz w:val="11"/>
        <w:szCs w:val="11"/>
      </w:rPr>
      <w:br/>
    </w:r>
    <w:r w:rsidRPr="00C21168">
      <w:rPr>
        <w:rFonts w:cs="Times New Roman (Body CS)"/>
        <w:color w:val="FFFFFF" w:themeColor="background1"/>
        <w:sz w:val="11"/>
        <w:szCs w:val="11"/>
      </w:rPr>
      <w:t>US managing</w:t>
    </w:r>
    <w:r w:rsidRPr="00C21168">
      <w:rPr>
        <w:rFonts w:cs="Times New Roman (Body CS)"/>
        <w:color w:val="FFFFFF" w:themeColor="background1"/>
        <w:spacing w:val="-2"/>
        <w:sz w:val="11"/>
        <w:szCs w:val="11"/>
      </w:rPr>
      <w:t xml:space="preserve"> general underwriter and licensed excess and surplus lines insurance broker; Convex Europe S.A. a company incorporated in Luxembourg which is supervised by the Commissariat aux Assurances (CAA); </w:t>
    </w:r>
    <w:r>
      <w:rPr>
        <w:rFonts w:cs="Times New Roman (Body CS)"/>
        <w:color w:val="FFFFFF" w:themeColor="background1"/>
        <w:spacing w:val="-2"/>
        <w:sz w:val="11"/>
        <w:szCs w:val="11"/>
      </w:rPr>
      <w:br/>
    </w:r>
    <w:r w:rsidRPr="00C21168">
      <w:rPr>
        <w:rFonts w:cs="Times New Roman (Body CS)"/>
        <w:color w:val="FFFFFF" w:themeColor="background1"/>
        <w:spacing w:val="-2"/>
        <w:sz w:val="11"/>
        <w:szCs w:val="11"/>
      </w:rPr>
      <w:t>and Convex Europe S.A. UK Branch which is authorised and regulated by the CAA and authorised by the PRA and subject to regulation by the FCA and limited regulation by the PRA. Details about the extent of its regulation by the PRA are available from us on request.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36E2CB" w14:textId="77777777" w:rsidR="00EF37C8" w:rsidRDefault="00EF37C8" w:rsidP="006E744D">
      <w:r>
        <w:separator/>
      </w:r>
    </w:p>
  </w:footnote>
  <w:footnote w:type="continuationSeparator" w:id="0">
    <w:p w14:paraId="7752D770" w14:textId="77777777" w:rsidR="00EF37C8" w:rsidRDefault="00EF37C8" w:rsidP="006E74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05637" w14:textId="77777777" w:rsidR="00A2134D" w:rsidRDefault="00A2134D">
    <w:pPr>
      <w:pStyle w:val="Header"/>
    </w:pPr>
    <w:r w:rsidRPr="00164D63">
      <w:rPr>
        <w:noProof/>
        <w:lang w:val="en-US"/>
      </w:rPr>
      <w:drawing>
        <wp:anchor distT="0" distB="0" distL="114300" distR="114300" simplePos="0" relativeHeight="251677696" behindDoc="1" locked="0" layoutInCell="1" allowOverlap="1" wp14:anchorId="4D43C01D" wp14:editId="3B2DF7B2">
          <wp:simplePos x="0" y="0"/>
          <wp:positionH relativeFrom="page">
            <wp:posOffset>0</wp:posOffset>
          </wp:positionH>
          <wp:positionV relativeFrom="page">
            <wp:posOffset>0</wp:posOffset>
          </wp:positionV>
          <wp:extent cx="7560733" cy="10684933"/>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 Template FC 3 v2.png"/>
                  <pic:cNvPicPr/>
                </pic:nvPicPr>
                <pic:blipFill>
                  <a:blip r:embed="rId1"/>
                  <a:stretch>
                    <a:fillRect/>
                  </a:stretch>
                </pic:blipFill>
                <pic:spPr>
                  <a:xfrm>
                    <a:off x="0" y="0"/>
                    <a:ext cx="7559040" cy="10683875"/>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848878" w14:textId="77777777" w:rsidR="00BA1969" w:rsidRDefault="004B4319">
    <w:r w:rsidRPr="001D4E45">
      <w:rPr>
        <w:noProof/>
      </w:rPr>
      <w:drawing>
        <wp:anchor distT="0" distB="0" distL="114300" distR="114300" simplePos="0" relativeHeight="251672576" behindDoc="0" locked="1" layoutInCell="1" allowOverlap="1" wp14:anchorId="6EFD653B" wp14:editId="0A218079">
          <wp:simplePos x="0" y="0"/>
          <wp:positionH relativeFrom="page">
            <wp:posOffset>5854065</wp:posOffset>
          </wp:positionH>
          <wp:positionV relativeFrom="page">
            <wp:posOffset>417830</wp:posOffset>
          </wp:positionV>
          <wp:extent cx="1278360" cy="496080"/>
          <wp:effectExtent l="0" t="0" r="4445" b="0"/>
          <wp:wrapThrough wrapText="bothSides">
            <wp:wrapPolygon edited="0">
              <wp:start x="15881" y="0"/>
              <wp:lineTo x="14379" y="4425"/>
              <wp:lineTo x="13949" y="6638"/>
              <wp:lineTo x="14164" y="8850"/>
              <wp:lineTo x="0" y="13828"/>
              <wp:lineTo x="0" y="19360"/>
              <wp:lineTo x="644" y="21019"/>
              <wp:lineTo x="16310" y="21019"/>
              <wp:lineTo x="16095" y="18254"/>
              <wp:lineTo x="15881" y="17700"/>
              <wp:lineTo x="21461" y="14382"/>
              <wp:lineTo x="21461" y="6638"/>
              <wp:lineTo x="17168" y="0"/>
              <wp:lineTo x="15881" y="0"/>
            </wp:wrapPolygon>
          </wp:wrapThrough>
          <wp:docPr id="16" name="Picture 1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
                  <a:stretch>
                    <a:fillRect/>
                  </a:stretch>
                </pic:blipFill>
                <pic:spPr>
                  <a:xfrm>
                    <a:off x="0" y="0"/>
                    <a:ext cx="1278360" cy="496080"/>
                  </a:xfrm>
                  <a:prstGeom prst="rect">
                    <a:avLst/>
                  </a:prstGeom>
                </pic:spPr>
              </pic:pic>
            </a:graphicData>
          </a:graphic>
          <wp14:sizeRelH relativeFrom="margin">
            <wp14:pctWidth>0</wp14:pctWidth>
          </wp14:sizeRelH>
          <wp14:sizeRelV relativeFrom="margin">
            <wp14:pctHeight>0</wp14:pctHeight>
          </wp14:sizeRelV>
        </wp:anchor>
      </w:drawing>
    </w:r>
  </w:p>
  <w:p w14:paraId="29813984" w14:textId="77777777" w:rsidR="0057751D" w:rsidRDefault="0057751D"/>
  <w:p w14:paraId="3A098832" w14:textId="77777777" w:rsidR="00000000" w:rsidRDefault="00000000"/>
  <w:p w14:paraId="3C27FC51" w14:textId="77777777" w:rsidR="00000000" w:rsidRDefault="00000000"/>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33286" w14:textId="77777777" w:rsidR="00BA1969" w:rsidRDefault="006A60D0">
    <w:r>
      <w:rPr>
        <w:noProof/>
      </w:rPr>
      <mc:AlternateContent>
        <mc:Choice Requires="wps">
          <w:drawing>
            <wp:anchor distT="0" distB="0" distL="114300" distR="114300" simplePos="0" relativeHeight="251668480" behindDoc="1" locked="0" layoutInCell="1" allowOverlap="1" wp14:anchorId="72FBEC76" wp14:editId="45AB5DF5">
              <wp:simplePos x="0" y="0"/>
              <wp:positionH relativeFrom="page">
                <wp:posOffset>0</wp:posOffset>
              </wp:positionH>
              <wp:positionV relativeFrom="page">
                <wp:posOffset>0</wp:posOffset>
              </wp:positionV>
              <wp:extent cx="7560000" cy="10692000"/>
              <wp:effectExtent l="0" t="0" r="0" b="1905"/>
              <wp:wrapNone/>
              <wp:docPr id="12" name="Rectangle 12"/>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non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523ED9" id="Rectangle 12" o:spid="_x0000_s1026" style="position:absolute;margin-left:0;margin-top:0;width:595.3pt;height:841.9pt;z-index:-251648000;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" fillcolor="#242424 [3215]" stroked="f">
              <v:textbox inset="0,0,0,0"/>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4A261C4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D6BEEB90"/>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C9BCB7F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DD9C688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386ACC5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826CE64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9E84D5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82C76B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4B80C8D8"/>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E7FE79E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5FDC0E3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5B807C1"/>
    <w:multiLevelType w:val="hybridMultilevel"/>
    <w:tmpl w:val="42D2E18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7A86182"/>
    <w:multiLevelType w:val="multilevel"/>
    <w:tmpl w:val="D7C66D9A"/>
    <w:lvl w:ilvl="0">
      <w:start w:val="1"/>
      <w:numFmt w:val="decimal"/>
      <w:lvlText w:val="%1"/>
      <w:lvlJc w:val="left"/>
      <w:pPr>
        <w:ind w:left="340" w:hanging="340"/>
      </w:pPr>
      <w:rPr>
        <w:rFonts w:hint="default"/>
        <w:b w:val="0"/>
        <w:i w:val="0"/>
      </w:rPr>
    </w:lvl>
    <w:lvl w:ilvl="1">
      <w:start w:val="1"/>
      <w:numFmt w:val="lowerRoman"/>
      <w:lvlText w:val="%2"/>
      <w:lvlJc w:val="left"/>
      <w:pPr>
        <w:ind w:left="680" w:hanging="340"/>
      </w:pPr>
      <w:rPr>
        <w:rFonts w:hint="default"/>
        <w:b w:val="0"/>
        <w:i w:val="0"/>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3" w15:restartNumberingAfterBreak="0">
    <w:nsid w:val="092634E7"/>
    <w:multiLevelType w:val="hybridMultilevel"/>
    <w:tmpl w:val="F86E517C"/>
    <w:lvl w:ilvl="0" w:tplc="561E5334">
      <w:start w:val="1"/>
      <w:numFmt w:val="bullet"/>
      <w:lvlText w:val=""/>
      <w:lvlJc w:val="left"/>
      <w:pPr>
        <w:ind w:left="227" w:hanging="227"/>
      </w:pPr>
      <w:rPr>
        <w:rFonts w:ascii="Symbol" w:hAnsi="Symbol" w:hint="default"/>
        <w:color w:val="FFFFFF" w:themeColor="background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3717E54"/>
    <w:multiLevelType w:val="multilevel"/>
    <w:tmpl w:val="F216EF40"/>
    <w:lvl w:ilvl="0">
      <w:start w:val="1"/>
      <w:numFmt w:val="bullet"/>
      <w:lvlText w:val=""/>
      <w:lvlJc w:val="left"/>
      <w:pPr>
        <w:ind w:left="227" w:hanging="227"/>
      </w:pPr>
      <w:rPr>
        <w:rFonts w:ascii="Symbol" w:hAnsi="Symbol" w:hint="default"/>
        <w:b w:val="0"/>
        <w:i w:val="0"/>
        <w:color w:val="FFFFFF" w:themeColor="background2"/>
      </w:rPr>
    </w:lvl>
    <w:lvl w:ilvl="1">
      <w:start w:val="1"/>
      <w:numFmt w:val="bullet"/>
      <w:lvlText w:val="·"/>
      <w:lvlJc w:val="left"/>
      <w:pPr>
        <w:ind w:left="680" w:hanging="226"/>
      </w:pPr>
      <w:rPr>
        <w:rFonts w:ascii="Symbol" w:hAnsi="Symbol" w:hint="default"/>
        <w:b w:val="0"/>
        <w:i w:val="0"/>
        <w:color w:val="4D7F71"/>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5" w15:restartNumberingAfterBreak="0">
    <w:nsid w:val="13B713C3"/>
    <w:multiLevelType w:val="multilevel"/>
    <w:tmpl w:val="471EDA96"/>
    <w:lvl w:ilvl="0">
      <w:start w:val="1"/>
      <w:numFmt w:val="bullet"/>
      <w:pStyle w:val="7ConvexBullets"/>
      <w:lvlText w:val=""/>
      <w:lvlJc w:val="left"/>
      <w:pPr>
        <w:ind w:left="227" w:hanging="227"/>
      </w:pPr>
      <w:rPr>
        <w:rFonts w:ascii="Symbol" w:hAnsi="Symbol" w:hint="default"/>
        <w:color w:val="248F86" w:themeColor="accent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6" w15:restartNumberingAfterBreak="0">
    <w:nsid w:val="1D894208"/>
    <w:multiLevelType w:val="multilevel"/>
    <w:tmpl w:val="0C5C99FE"/>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7" w15:restartNumberingAfterBreak="0">
    <w:nsid w:val="1F6D6204"/>
    <w:multiLevelType w:val="hybridMultilevel"/>
    <w:tmpl w:val="7F0A1486"/>
    <w:lvl w:ilvl="0" w:tplc="6BCC1096">
      <w:start w:val="1"/>
      <w:numFmt w:val="decimal"/>
      <w:lvlText w:val="%1."/>
      <w:lvlJc w:val="left"/>
      <w:pPr>
        <w:ind w:left="1080" w:hanging="72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2542998"/>
    <w:multiLevelType w:val="hybridMultilevel"/>
    <w:tmpl w:val="53AC71AC"/>
    <w:lvl w:ilvl="0" w:tplc="ED7C6E0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5393524"/>
    <w:multiLevelType w:val="multilevel"/>
    <w:tmpl w:val="C5C6C138"/>
    <w:lvl w:ilvl="0">
      <w:start w:val="1"/>
      <w:numFmt w:val="bullet"/>
      <w:lvlText w:val=""/>
      <w:lvlJc w:val="left"/>
      <w:pPr>
        <w:ind w:left="227" w:hanging="227"/>
      </w:pPr>
      <w:rPr>
        <w:rFonts w:ascii="Symbol" w:hAnsi="Symbol" w:hint="default"/>
        <w:b w:val="0"/>
        <w:i w:val="0"/>
        <w:color w:val="4D7F71"/>
      </w:rPr>
    </w:lvl>
    <w:lvl w:ilvl="1">
      <w:start w:val="1"/>
      <w:numFmt w:val="bullet"/>
      <w:lvlText w:val=""/>
      <w:lvlJc w:val="left"/>
      <w:pPr>
        <w:ind w:left="454" w:hanging="227"/>
      </w:pPr>
      <w:rPr>
        <w:rFonts w:ascii="Symbol" w:hAnsi="Symbol" w:hint="default"/>
        <w:color w:val="4D7F71"/>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B8E1ED7"/>
    <w:multiLevelType w:val="multilevel"/>
    <w:tmpl w:val="BC50D80C"/>
    <w:lvl w:ilvl="0">
      <w:start w:val="1"/>
      <w:numFmt w:val="bullet"/>
      <w:lvlText w:val=""/>
      <w:lvlJc w:val="left"/>
      <w:pPr>
        <w:ind w:left="227" w:hanging="227"/>
      </w:pPr>
      <w:rPr>
        <w:rFonts w:ascii="Symbol" w:hAnsi="Symbol" w:hint="default"/>
        <w:color w:val="FFFFFF" w:themeColor="background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1" w15:restartNumberingAfterBreak="0">
    <w:nsid w:val="2CEB5EE2"/>
    <w:multiLevelType w:val="hybridMultilevel"/>
    <w:tmpl w:val="215058CC"/>
    <w:lvl w:ilvl="0" w:tplc="6DE2E29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3013119D"/>
    <w:multiLevelType w:val="multilevel"/>
    <w:tmpl w:val="0809001D"/>
    <w:styleLink w:val="CurrentList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32F10DE6"/>
    <w:multiLevelType w:val="multilevel"/>
    <w:tmpl w:val="BC50D80C"/>
    <w:lvl w:ilvl="0">
      <w:start w:val="1"/>
      <w:numFmt w:val="bullet"/>
      <w:lvlText w:val=""/>
      <w:lvlJc w:val="left"/>
      <w:pPr>
        <w:ind w:left="227" w:hanging="227"/>
      </w:pPr>
      <w:rPr>
        <w:rFonts w:ascii="Symbol" w:hAnsi="Symbol" w:hint="default"/>
        <w:color w:val="FFFFFF" w:themeColor="background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4" w15:restartNumberingAfterBreak="0">
    <w:nsid w:val="348049D3"/>
    <w:multiLevelType w:val="multilevel"/>
    <w:tmpl w:val="589CD82A"/>
    <w:lvl w:ilvl="0">
      <w:start w:val="1"/>
      <w:numFmt w:val="bullet"/>
      <w:lvlText w:val=""/>
      <w:lvlJc w:val="left"/>
      <w:pPr>
        <w:ind w:left="227" w:hanging="227"/>
      </w:pPr>
      <w:rPr>
        <w:rFonts w:ascii="Symbol" w:hAnsi="Symbol" w:hint="default"/>
        <w:color w:val="FFFFFF" w:themeColor="background2"/>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5" w15:restartNumberingAfterBreak="0">
    <w:nsid w:val="37AD248E"/>
    <w:multiLevelType w:val="hybridMultilevel"/>
    <w:tmpl w:val="07B28B4E"/>
    <w:lvl w:ilvl="0" w:tplc="08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6" w15:restartNumberingAfterBreak="0">
    <w:nsid w:val="38042424"/>
    <w:multiLevelType w:val="hybridMultilevel"/>
    <w:tmpl w:val="8B9073AA"/>
    <w:lvl w:ilvl="0" w:tplc="D09ED7A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2CF42EA"/>
    <w:multiLevelType w:val="hybridMultilevel"/>
    <w:tmpl w:val="A1E420C8"/>
    <w:lvl w:ilvl="0" w:tplc="08090005">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8" w15:restartNumberingAfterBreak="0">
    <w:nsid w:val="44216074"/>
    <w:multiLevelType w:val="hybridMultilevel"/>
    <w:tmpl w:val="0C5C99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98E0EAE"/>
    <w:multiLevelType w:val="multilevel"/>
    <w:tmpl w:val="BC50D80C"/>
    <w:lvl w:ilvl="0">
      <w:start w:val="1"/>
      <w:numFmt w:val="bullet"/>
      <w:lvlText w:val=""/>
      <w:lvlJc w:val="left"/>
      <w:pPr>
        <w:ind w:left="227" w:hanging="227"/>
      </w:pPr>
      <w:rPr>
        <w:rFonts w:ascii="Symbol" w:hAnsi="Symbol" w:hint="default"/>
        <w:b w:val="0"/>
        <w:i w:val="0"/>
        <w:color w:val="FFFFFF" w:themeColor="background2"/>
      </w:rPr>
    </w:lvl>
    <w:lvl w:ilvl="1">
      <w:start w:val="1"/>
      <w:numFmt w:val="bullet"/>
      <w:lvlText w:val="·"/>
      <w:lvlJc w:val="left"/>
      <w:pPr>
        <w:ind w:left="454" w:hanging="227"/>
      </w:pPr>
      <w:rPr>
        <w:rFonts w:ascii="Courier New" w:hAnsi="Courier New" w:hint="default"/>
        <w:color w:val="4D7F71"/>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0" w15:restartNumberingAfterBreak="0">
    <w:nsid w:val="4F997838"/>
    <w:multiLevelType w:val="hybridMultilevel"/>
    <w:tmpl w:val="0944C072"/>
    <w:lvl w:ilvl="0" w:tplc="4A448EFE">
      <w:start w:val="1"/>
      <w:numFmt w:val="bullet"/>
      <w:lvlText w:val=""/>
      <w:lvlJc w:val="left"/>
      <w:pPr>
        <w:ind w:left="360" w:hanging="360"/>
      </w:pPr>
      <w:rPr>
        <w:rFonts w:ascii="Symbol" w:hAnsi="Symbol" w:hint="default"/>
        <w:color w:val="FFFFFF" w:themeColor="background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52C53B2"/>
    <w:multiLevelType w:val="multilevel"/>
    <w:tmpl w:val="F216EF40"/>
    <w:lvl w:ilvl="0">
      <w:start w:val="1"/>
      <w:numFmt w:val="bullet"/>
      <w:lvlText w:val=""/>
      <w:lvlJc w:val="left"/>
      <w:pPr>
        <w:ind w:left="227" w:hanging="227"/>
      </w:pPr>
      <w:rPr>
        <w:rFonts w:ascii="Symbol" w:hAnsi="Symbol" w:hint="default"/>
        <w:b w:val="0"/>
        <w:i w:val="0"/>
        <w:color w:val="FFFFFF" w:themeColor="background2"/>
      </w:rPr>
    </w:lvl>
    <w:lvl w:ilvl="1">
      <w:start w:val="1"/>
      <w:numFmt w:val="bullet"/>
      <w:lvlText w:val="·"/>
      <w:lvlJc w:val="left"/>
      <w:pPr>
        <w:ind w:left="680" w:hanging="226"/>
      </w:pPr>
      <w:rPr>
        <w:rFonts w:ascii="Symbol" w:hAnsi="Symbol" w:hint="default"/>
        <w:b w:val="0"/>
        <w:i w:val="0"/>
        <w:color w:val="4D7F71"/>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2" w15:restartNumberingAfterBreak="0">
    <w:nsid w:val="5B564375"/>
    <w:multiLevelType w:val="multilevel"/>
    <w:tmpl w:val="0809001D"/>
    <w:styleLink w:val="ConvexBulletList"/>
    <w:lvl w:ilvl="0">
      <w:start w:val="1"/>
      <w:numFmt w:val="bullet"/>
      <w:lvlText w:val=""/>
      <w:lvlJc w:val="left"/>
      <w:pPr>
        <w:ind w:left="360" w:hanging="360"/>
      </w:pPr>
      <w:rPr>
        <w:rFonts w:ascii="Symbol" w:hAnsi="Symbol" w:hint="default"/>
        <w:color w:val="FFFFFF" w:themeColor="background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5E8D0172"/>
    <w:multiLevelType w:val="hybridMultilevel"/>
    <w:tmpl w:val="56CA180A"/>
    <w:lvl w:ilvl="0" w:tplc="20CA6FB8">
      <w:start w:val="1"/>
      <w:numFmt w:val="decimal"/>
      <w:lvlText w:val="%1."/>
      <w:lvlJc w:val="left"/>
      <w:pPr>
        <w:ind w:left="227" w:hanging="227"/>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5EBA4F26"/>
    <w:multiLevelType w:val="hybridMultilevel"/>
    <w:tmpl w:val="B58A1DD4"/>
    <w:lvl w:ilvl="0" w:tplc="6BCC109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FC54796"/>
    <w:multiLevelType w:val="multilevel"/>
    <w:tmpl w:val="BC50D80C"/>
    <w:lvl w:ilvl="0">
      <w:start w:val="1"/>
      <w:numFmt w:val="bullet"/>
      <w:lvlText w:val=""/>
      <w:lvlJc w:val="left"/>
      <w:pPr>
        <w:ind w:left="227" w:hanging="227"/>
      </w:pPr>
      <w:rPr>
        <w:rFonts w:ascii="Symbol" w:hAnsi="Symbol" w:hint="default"/>
        <w:color w:val="FFFFFF" w:themeColor="background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6" w15:restartNumberingAfterBreak="0">
    <w:nsid w:val="616352C8"/>
    <w:multiLevelType w:val="multilevel"/>
    <w:tmpl w:val="50D4341E"/>
    <w:lvl w:ilvl="0">
      <w:start w:val="1"/>
      <w:numFmt w:val="bullet"/>
      <w:pStyle w:val="71ConvexBulletLAST"/>
      <w:lvlText w:val=""/>
      <w:lvlJc w:val="left"/>
      <w:pPr>
        <w:ind w:left="227" w:hanging="227"/>
      </w:pPr>
      <w:rPr>
        <w:rFonts w:ascii="Symbol" w:hAnsi="Symbol" w:hint="default"/>
        <w:color w:val="248F86" w:themeColor="accent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7" w15:restartNumberingAfterBreak="0">
    <w:nsid w:val="701475DF"/>
    <w:multiLevelType w:val="multilevel"/>
    <w:tmpl w:val="BC50D80C"/>
    <w:lvl w:ilvl="0">
      <w:start w:val="1"/>
      <w:numFmt w:val="bullet"/>
      <w:lvlText w:val=""/>
      <w:lvlJc w:val="left"/>
      <w:pPr>
        <w:ind w:left="227" w:hanging="227"/>
      </w:pPr>
      <w:rPr>
        <w:rFonts w:ascii="Symbol" w:hAnsi="Symbol" w:hint="default"/>
        <w:color w:val="FFFFFF" w:themeColor="background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38" w15:restartNumberingAfterBreak="0">
    <w:nsid w:val="70606AA1"/>
    <w:multiLevelType w:val="hybridMultilevel"/>
    <w:tmpl w:val="BE72B1D8"/>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74B3D71"/>
    <w:multiLevelType w:val="multilevel"/>
    <w:tmpl w:val="66B4A3F2"/>
    <w:lvl w:ilvl="0">
      <w:start w:val="1"/>
      <w:numFmt w:val="bullet"/>
      <w:lvlText w:val=""/>
      <w:lvlJc w:val="left"/>
      <w:pPr>
        <w:tabs>
          <w:tab w:val="num" w:pos="170"/>
        </w:tabs>
        <w:ind w:left="170" w:hanging="17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A781EF3"/>
    <w:multiLevelType w:val="multilevel"/>
    <w:tmpl w:val="F216EF40"/>
    <w:lvl w:ilvl="0">
      <w:start w:val="1"/>
      <w:numFmt w:val="bullet"/>
      <w:lvlText w:val=""/>
      <w:lvlJc w:val="left"/>
      <w:pPr>
        <w:ind w:left="227" w:hanging="227"/>
      </w:pPr>
      <w:rPr>
        <w:rFonts w:ascii="Symbol" w:hAnsi="Symbol" w:hint="default"/>
        <w:b w:val="0"/>
        <w:i w:val="0"/>
        <w:color w:val="FFFFFF" w:themeColor="background2"/>
      </w:rPr>
    </w:lvl>
    <w:lvl w:ilvl="1">
      <w:start w:val="1"/>
      <w:numFmt w:val="bullet"/>
      <w:lvlText w:val="·"/>
      <w:lvlJc w:val="left"/>
      <w:pPr>
        <w:ind w:left="680" w:hanging="226"/>
      </w:pPr>
      <w:rPr>
        <w:rFonts w:ascii="Symbol" w:hAnsi="Symbol" w:hint="default"/>
        <w:b w:val="0"/>
        <w:i w:val="0"/>
        <w:color w:val="4D7F71"/>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41" w15:restartNumberingAfterBreak="0">
    <w:nsid w:val="7B8503B1"/>
    <w:multiLevelType w:val="multilevel"/>
    <w:tmpl w:val="0809001D"/>
    <w:styleLink w:val="CurrentLi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7CF05BBE"/>
    <w:multiLevelType w:val="multilevel"/>
    <w:tmpl w:val="BC50D80C"/>
    <w:lvl w:ilvl="0">
      <w:start w:val="1"/>
      <w:numFmt w:val="bullet"/>
      <w:lvlText w:val=""/>
      <w:lvlJc w:val="left"/>
      <w:pPr>
        <w:ind w:left="227" w:hanging="227"/>
      </w:pPr>
      <w:rPr>
        <w:rFonts w:ascii="Symbol" w:hAnsi="Symbol" w:hint="default"/>
        <w:color w:val="FFFFFF" w:themeColor="background2"/>
      </w:rPr>
    </w:lvl>
    <w:lvl w:ilvl="1">
      <w:start w:val="1"/>
      <w:numFmt w:val="bullet"/>
      <w:lvlText w:val="·"/>
      <w:lvlJc w:val="left"/>
      <w:pPr>
        <w:ind w:left="454" w:hanging="227"/>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num w:numId="1" w16cid:durableId="2040474281">
    <w:abstractNumId w:val="0"/>
  </w:num>
  <w:num w:numId="2" w16cid:durableId="39525437">
    <w:abstractNumId w:val="10"/>
  </w:num>
  <w:num w:numId="3" w16cid:durableId="555776714">
    <w:abstractNumId w:val="8"/>
  </w:num>
  <w:num w:numId="4" w16cid:durableId="286356443">
    <w:abstractNumId w:val="7"/>
  </w:num>
  <w:num w:numId="5" w16cid:durableId="1368681614">
    <w:abstractNumId w:val="6"/>
  </w:num>
  <w:num w:numId="6" w16cid:durableId="29645670">
    <w:abstractNumId w:val="5"/>
  </w:num>
  <w:num w:numId="7" w16cid:durableId="1911771224">
    <w:abstractNumId w:val="9"/>
  </w:num>
  <w:num w:numId="8" w16cid:durableId="140388905">
    <w:abstractNumId w:val="4"/>
  </w:num>
  <w:num w:numId="9" w16cid:durableId="1932619783">
    <w:abstractNumId w:val="3"/>
  </w:num>
  <w:num w:numId="10" w16cid:durableId="534008081">
    <w:abstractNumId w:val="2"/>
  </w:num>
  <w:num w:numId="11" w16cid:durableId="486016294">
    <w:abstractNumId w:val="1"/>
  </w:num>
  <w:num w:numId="12" w16cid:durableId="1297567768">
    <w:abstractNumId w:val="28"/>
  </w:num>
  <w:num w:numId="13" w16cid:durableId="949780270">
    <w:abstractNumId w:val="16"/>
  </w:num>
  <w:num w:numId="14" w16cid:durableId="965820798">
    <w:abstractNumId w:val="39"/>
  </w:num>
  <w:num w:numId="15" w16cid:durableId="1867331015">
    <w:abstractNumId w:val="13"/>
  </w:num>
  <w:num w:numId="16" w16cid:durableId="456947874">
    <w:abstractNumId w:val="20"/>
  </w:num>
  <w:num w:numId="17" w16cid:durableId="1192108502">
    <w:abstractNumId w:val="30"/>
  </w:num>
  <w:num w:numId="18" w16cid:durableId="1563443889">
    <w:abstractNumId w:val="24"/>
  </w:num>
  <w:num w:numId="19" w16cid:durableId="93356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440175329">
    <w:abstractNumId w:val="42"/>
  </w:num>
  <w:num w:numId="21" w16cid:durableId="689185401">
    <w:abstractNumId w:val="35"/>
  </w:num>
  <w:num w:numId="22" w16cid:durableId="1863283241">
    <w:abstractNumId w:val="15"/>
  </w:num>
  <w:num w:numId="23" w16cid:durableId="1915121457">
    <w:abstractNumId w:val="23"/>
  </w:num>
  <w:num w:numId="24" w16cid:durableId="1707019014">
    <w:abstractNumId w:val="32"/>
  </w:num>
  <w:num w:numId="25" w16cid:durableId="265428890">
    <w:abstractNumId w:val="19"/>
  </w:num>
  <w:num w:numId="26" w16cid:durableId="1221792850">
    <w:abstractNumId w:val="14"/>
  </w:num>
  <w:num w:numId="27" w16cid:durableId="378749433">
    <w:abstractNumId w:val="29"/>
  </w:num>
  <w:num w:numId="28" w16cid:durableId="1163011136">
    <w:abstractNumId w:val="40"/>
  </w:num>
  <w:num w:numId="29" w16cid:durableId="731657012">
    <w:abstractNumId w:val="31"/>
  </w:num>
  <w:num w:numId="30" w16cid:durableId="1016805655">
    <w:abstractNumId w:val="37"/>
  </w:num>
  <w:num w:numId="31" w16cid:durableId="1969316632">
    <w:abstractNumId w:val="36"/>
  </w:num>
  <w:num w:numId="32" w16cid:durableId="1244948923">
    <w:abstractNumId w:val="33"/>
  </w:num>
  <w:num w:numId="33" w16cid:durableId="1309624626">
    <w:abstractNumId w:val="18"/>
  </w:num>
  <w:num w:numId="34" w16cid:durableId="377508861">
    <w:abstractNumId w:val="12"/>
  </w:num>
  <w:num w:numId="35" w16cid:durableId="1201943574">
    <w:abstractNumId w:val="26"/>
  </w:num>
  <w:num w:numId="36" w16cid:durableId="1483084191">
    <w:abstractNumId w:val="22"/>
  </w:num>
  <w:num w:numId="37" w16cid:durableId="578253701">
    <w:abstractNumId w:val="41"/>
  </w:num>
  <w:num w:numId="38" w16cid:durableId="1181360655">
    <w:abstractNumId w:val="27"/>
  </w:num>
  <w:num w:numId="39" w16cid:durableId="1797328292">
    <w:abstractNumId w:val="38"/>
  </w:num>
  <w:num w:numId="40" w16cid:durableId="144704366">
    <w:abstractNumId w:val="21"/>
  </w:num>
  <w:num w:numId="41" w16cid:durableId="151871624">
    <w:abstractNumId w:val="25"/>
  </w:num>
  <w:num w:numId="42" w16cid:durableId="469055174">
    <w:abstractNumId w:val="11"/>
  </w:num>
  <w:num w:numId="43" w16cid:durableId="513807525">
    <w:abstractNumId w:val="17"/>
  </w:num>
  <w:num w:numId="44" w16cid:durableId="1208567193">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1"/>
  <w:displayBackgroundShape/>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365"/>
    <w:rsid w:val="00010579"/>
    <w:rsid w:val="00045401"/>
    <w:rsid w:val="00061D0B"/>
    <w:rsid w:val="00086DDD"/>
    <w:rsid w:val="000B3E31"/>
    <w:rsid w:val="000D056A"/>
    <w:rsid w:val="000F29E7"/>
    <w:rsid w:val="000F3D54"/>
    <w:rsid w:val="00103D04"/>
    <w:rsid w:val="00111889"/>
    <w:rsid w:val="00127EFD"/>
    <w:rsid w:val="00164D63"/>
    <w:rsid w:val="00192AFA"/>
    <w:rsid w:val="001A5A08"/>
    <w:rsid w:val="001B2897"/>
    <w:rsid w:val="00225DB4"/>
    <w:rsid w:val="00243507"/>
    <w:rsid w:val="00245B24"/>
    <w:rsid w:val="002521A3"/>
    <w:rsid w:val="00252CB3"/>
    <w:rsid w:val="00271910"/>
    <w:rsid w:val="002A4310"/>
    <w:rsid w:val="003007A3"/>
    <w:rsid w:val="0031787C"/>
    <w:rsid w:val="003212E8"/>
    <w:rsid w:val="00327A91"/>
    <w:rsid w:val="00330079"/>
    <w:rsid w:val="00345DC0"/>
    <w:rsid w:val="00347F8A"/>
    <w:rsid w:val="00356EDF"/>
    <w:rsid w:val="0037589E"/>
    <w:rsid w:val="0039306F"/>
    <w:rsid w:val="003B06DD"/>
    <w:rsid w:val="003B7206"/>
    <w:rsid w:val="003B7254"/>
    <w:rsid w:val="003B7674"/>
    <w:rsid w:val="003C2CF7"/>
    <w:rsid w:val="003D7AE7"/>
    <w:rsid w:val="003E4F3D"/>
    <w:rsid w:val="003E6216"/>
    <w:rsid w:val="00416845"/>
    <w:rsid w:val="00432162"/>
    <w:rsid w:val="00435458"/>
    <w:rsid w:val="004461A6"/>
    <w:rsid w:val="004526E4"/>
    <w:rsid w:val="00455058"/>
    <w:rsid w:val="004740AB"/>
    <w:rsid w:val="00483A82"/>
    <w:rsid w:val="00485F97"/>
    <w:rsid w:val="004B4319"/>
    <w:rsid w:val="004C50EE"/>
    <w:rsid w:val="004D3A88"/>
    <w:rsid w:val="004E1367"/>
    <w:rsid w:val="004E22CD"/>
    <w:rsid w:val="00522774"/>
    <w:rsid w:val="00524EA9"/>
    <w:rsid w:val="005274C7"/>
    <w:rsid w:val="005308C9"/>
    <w:rsid w:val="005335BD"/>
    <w:rsid w:val="00537695"/>
    <w:rsid w:val="00565657"/>
    <w:rsid w:val="0057751D"/>
    <w:rsid w:val="0057795A"/>
    <w:rsid w:val="00592ED3"/>
    <w:rsid w:val="00593365"/>
    <w:rsid w:val="0059430B"/>
    <w:rsid w:val="005975D7"/>
    <w:rsid w:val="005B139C"/>
    <w:rsid w:val="005D18C7"/>
    <w:rsid w:val="005E1A3A"/>
    <w:rsid w:val="005E7F20"/>
    <w:rsid w:val="005F7F2B"/>
    <w:rsid w:val="006075D5"/>
    <w:rsid w:val="0061750F"/>
    <w:rsid w:val="00617EE9"/>
    <w:rsid w:val="00642482"/>
    <w:rsid w:val="006433C4"/>
    <w:rsid w:val="00654A71"/>
    <w:rsid w:val="00671FE0"/>
    <w:rsid w:val="006816DB"/>
    <w:rsid w:val="00695D79"/>
    <w:rsid w:val="006A2A2D"/>
    <w:rsid w:val="006A5A90"/>
    <w:rsid w:val="006A60D0"/>
    <w:rsid w:val="006C077D"/>
    <w:rsid w:val="006C0F16"/>
    <w:rsid w:val="006E744D"/>
    <w:rsid w:val="006F40BD"/>
    <w:rsid w:val="00702E87"/>
    <w:rsid w:val="00707BCB"/>
    <w:rsid w:val="007456A6"/>
    <w:rsid w:val="0077767E"/>
    <w:rsid w:val="00793C57"/>
    <w:rsid w:val="00795614"/>
    <w:rsid w:val="007B1A80"/>
    <w:rsid w:val="007E3E06"/>
    <w:rsid w:val="007E69A8"/>
    <w:rsid w:val="008045CB"/>
    <w:rsid w:val="008072E7"/>
    <w:rsid w:val="0081027B"/>
    <w:rsid w:val="00826622"/>
    <w:rsid w:val="0084410F"/>
    <w:rsid w:val="00856394"/>
    <w:rsid w:val="008710BC"/>
    <w:rsid w:val="008729F0"/>
    <w:rsid w:val="0087532F"/>
    <w:rsid w:val="00880127"/>
    <w:rsid w:val="0088689E"/>
    <w:rsid w:val="00886D2F"/>
    <w:rsid w:val="0089469F"/>
    <w:rsid w:val="008A4351"/>
    <w:rsid w:val="008C1C90"/>
    <w:rsid w:val="008D619A"/>
    <w:rsid w:val="008D7082"/>
    <w:rsid w:val="008F54FB"/>
    <w:rsid w:val="00910574"/>
    <w:rsid w:val="00916443"/>
    <w:rsid w:val="00916EAB"/>
    <w:rsid w:val="00933050"/>
    <w:rsid w:val="00936A78"/>
    <w:rsid w:val="00965CDE"/>
    <w:rsid w:val="00984D76"/>
    <w:rsid w:val="00994A40"/>
    <w:rsid w:val="009959F8"/>
    <w:rsid w:val="009D0793"/>
    <w:rsid w:val="009D2654"/>
    <w:rsid w:val="009E057C"/>
    <w:rsid w:val="009E09CE"/>
    <w:rsid w:val="009E6213"/>
    <w:rsid w:val="00A0548F"/>
    <w:rsid w:val="00A111D2"/>
    <w:rsid w:val="00A126FA"/>
    <w:rsid w:val="00A16A08"/>
    <w:rsid w:val="00A2134D"/>
    <w:rsid w:val="00A232D5"/>
    <w:rsid w:val="00A32447"/>
    <w:rsid w:val="00A343BF"/>
    <w:rsid w:val="00A34AF7"/>
    <w:rsid w:val="00A56920"/>
    <w:rsid w:val="00A74ACE"/>
    <w:rsid w:val="00A77028"/>
    <w:rsid w:val="00A8212C"/>
    <w:rsid w:val="00AA049F"/>
    <w:rsid w:val="00AA69A5"/>
    <w:rsid w:val="00AB6E0F"/>
    <w:rsid w:val="00AD45C1"/>
    <w:rsid w:val="00B027A2"/>
    <w:rsid w:val="00B14694"/>
    <w:rsid w:val="00B244B0"/>
    <w:rsid w:val="00B27CBA"/>
    <w:rsid w:val="00B3299C"/>
    <w:rsid w:val="00B362D8"/>
    <w:rsid w:val="00B37047"/>
    <w:rsid w:val="00B378F7"/>
    <w:rsid w:val="00B941CA"/>
    <w:rsid w:val="00B95CDB"/>
    <w:rsid w:val="00B96D88"/>
    <w:rsid w:val="00BA1969"/>
    <w:rsid w:val="00BD191F"/>
    <w:rsid w:val="00BD6F82"/>
    <w:rsid w:val="00BF58A9"/>
    <w:rsid w:val="00C50E41"/>
    <w:rsid w:val="00C5157B"/>
    <w:rsid w:val="00C55108"/>
    <w:rsid w:val="00C60C20"/>
    <w:rsid w:val="00C6266F"/>
    <w:rsid w:val="00C65547"/>
    <w:rsid w:val="00C908F0"/>
    <w:rsid w:val="00C973D4"/>
    <w:rsid w:val="00CA7F64"/>
    <w:rsid w:val="00CC54CA"/>
    <w:rsid w:val="00CD5F7E"/>
    <w:rsid w:val="00CD7FDF"/>
    <w:rsid w:val="00CE03CE"/>
    <w:rsid w:val="00CE3FBA"/>
    <w:rsid w:val="00CF3F97"/>
    <w:rsid w:val="00D026E8"/>
    <w:rsid w:val="00D2290B"/>
    <w:rsid w:val="00D73843"/>
    <w:rsid w:val="00D80A28"/>
    <w:rsid w:val="00D82BA2"/>
    <w:rsid w:val="00D83895"/>
    <w:rsid w:val="00D86940"/>
    <w:rsid w:val="00DA1E27"/>
    <w:rsid w:val="00DB462D"/>
    <w:rsid w:val="00DB7636"/>
    <w:rsid w:val="00DC5F3B"/>
    <w:rsid w:val="00DD255A"/>
    <w:rsid w:val="00DD347B"/>
    <w:rsid w:val="00DD7006"/>
    <w:rsid w:val="00DF55F3"/>
    <w:rsid w:val="00E06D3B"/>
    <w:rsid w:val="00E1228F"/>
    <w:rsid w:val="00E31C27"/>
    <w:rsid w:val="00E324B3"/>
    <w:rsid w:val="00E42659"/>
    <w:rsid w:val="00E633D5"/>
    <w:rsid w:val="00E7596E"/>
    <w:rsid w:val="00EB2154"/>
    <w:rsid w:val="00EB3573"/>
    <w:rsid w:val="00ED0961"/>
    <w:rsid w:val="00EF37C8"/>
    <w:rsid w:val="00F0385D"/>
    <w:rsid w:val="00F0578F"/>
    <w:rsid w:val="00F23067"/>
    <w:rsid w:val="00F35453"/>
    <w:rsid w:val="00F35BE9"/>
    <w:rsid w:val="00F36AEA"/>
    <w:rsid w:val="00F40955"/>
    <w:rsid w:val="00F96E12"/>
    <w:rsid w:val="00FA6D26"/>
    <w:rsid w:val="00FD3F1B"/>
    <w:rsid w:val="00FF203C"/>
  </w:rsids>
  <m:mathPr>
    <m:mathFont m:val="Cambria Math"/>
    <m:brkBin m:val="before"/>
    <m:brkBinSub m:val="--"/>
    <m:smallFrac/>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3ABE40A"/>
  <w15:docId w15:val="{C6282234-48D0-6B4A-AB79-699F3259A3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CE03CE"/>
    <w:pPr>
      <w:spacing w:after="170"/>
    </w:pPr>
    <w:rPr>
      <w:sz w:val="18"/>
    </w:rPr>
  </w:style>
  <w:style w:type="paragraph" w:styleId="Heading1">
    <w:name w:val="heading 1"/>
    <w:aliases w:val="Heading"/>
    <w:next w:val="Normal"/>
    <w:link w:val="Heading1Char"/>
    <w:uiPriority w:val="9"/>
    <w:rsid w:val="00880127"/>
    <w:pPr>
      <w:keepNext/>
      <w:keepLines/>
      <w:spacing w:after="240"/>
      <w:outlineLvl w:val="0"/>
    </w:pPr>
    <w:rPr>
      <w:rFonts w:asciiTheme="majorHAnsi" w:eastAsiaTheme="majorEastAsia" w:hAnsiTheme="majorHAnsi" w:cstheme="majorBidi"/>
      <w:bCs/>
      <w:color w:val="248F86" w:themeColor="accent2"/>
      <w:sz w:val="40"/>
      <w:szCs w:val="32"/>
    </w:rPr>
  </w:style>
  <w:style w:type="paragraph" w:styleId="Heading2">
    <w:name w:val="heading 2"/>
    <w:basedOn w:val="Normal"/>
    <w:next w:val="Normal"/>
    <w:link w:val="Heading2Char"/>
    <w:rsid w:val="00FD3F1B"/>
    <w:pPr>
      <w:keepNext/>
      <w:keepLines/>
      <w:spacing w:before="40"/>
      <w:outlineLvl w:val="1"/>
    </w:pPr>
    <w:rPr>
      <w:rFonts w:asciiTheme="majorHAnsi" w:eastAsiaTheme="majorEastAsia" w:hAnsiTheme="majorHAnsi" w:cstheme="majorBidi"/>
      <w:color w:val="FFFFFF" w:themeColor="background2"/>
      <w:sz w:val="26"/>
      <w:szCs w:val="26"/>
    </w:rPr>
  </w:style>
  <w:style w:type="paragraph" w:styleId="Heading3">
    <w:name w:val="heading 3"/>
    <w:basedOn w:val="Normal"/>
    <w:next w:val="Normal"/>
    <w:link w:val="Heading3Char"/>
    <w:rsid w:val="00984D76"/>
    <w:pPr>
      <w:keepNext/>
      <w:keepLines/>
      <w:spacing w:before="40"/>
      <w:outlineLvl w:val="2"/>
    </w:pPr>
    <w:rPr>
      <w:rFonts w:asciiTheme="majorHAnsi" w:eastAsiaTheme="majorEastAsia" w:hAnsiTheme="majorHAnsi" w:cstheme="majorBidi"/>
      <w:color w:val="FFFFFF" w:themeColor="background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80127"/>
    <w:rPr>
      <w:color w:val="248F86" w:themeColor="accent2"/>
      <w:u w:val="single"/>
    </w:rPr>
  </w:style>
  <w:style w:type="character" w:customStyle="1" w:styleId="Heading3Char">
    <w:name w:val="Heading 3 Char"/>
    <w:basedOn w:val="DefaultParagraphFont"/>
    <w:link w:val="Heading3"/>
    <w:rsid w:val="00984D76"/>
    <w:rPr>
      <w:rFonts w:asciiTheme="majorHAnsi" w:eastAsiaTheme="majorEastAsia" w:hAnsiTheme="majorHAnsi" w:cstheme="majorBidi"/>
      <w:color w:val="FFFFFF" w:themeColor="background2"/>
    </w:rPr>
  </w:style>
  <w:style w:type="paragraph" w:customStyle="1" w:styleId="61TableText">
    <w:name w:val="6.1 Table Text"/>
    <w:basedOn w:val="6ConvexBodyCopy"/>
    <w:qFormat/>
    <w:rsid w:val="00CC54CA"/>
    <w:pPr>
      <w:spacing w:before="40" w:after="40"/>
      <w:ind w:left="113" w:right="113"/>
    </w:pPr>
  </w:style>
  <w:style w:type="paragraph" w:styleId="BalloonText">
    <w:name w:val="Balloon Text"/>
    <w:basedOn w:val="Normal"/>
    <w:link w:val="BalloonTextChar"/>
    <w:uiPriority w:val="99"/>
    <w:semiHidden/>
    <w:unhideWhenUsed/>
    <w:rsid w:val="00F0578F"/>
    <w:rPr>
      <w:rFonts w:ascii="Lucida Grande" w:hAnsi="Lucida Grande" w:cs="Lucida Grande"/>
      <w:szCs w:val="18"/>
    </w:rPr>
  </w:style>
  <w:style w:type="character" w:customStyle="1" w:styleId="BalloonTextChar">
    <w:name w:val="Balloon Text Char"/>
    <w:basedOn w:val="DefaultParagraphFont"/>
    <w:link w:val="BalloonText"/>
    <w:uiPriority w:val="99"/>
    <w:semiHidden/>
    <w:rsid w:val="00F0578F"/>
    <w:rPr>
      <w:rFonts w:ascii="Lucida Grande" w:hAnsi="Lucida Grande" w:cs="Lucida Grande"/>
      <w:sz w:val="18"/>
      <w:szCs w:val="18"/>
    </w:rPr>
  </w:style>
  <w:style w:type="character" w:customStyle="1" w:styleId="Heading1Char">
    <w:name w:val="Heading 1 Char"/>
    <w:aliases w:val="Heading Char"/>
    <w:basedOn w:val="DefaultParagraphFont"/>
    <w:link w:val="Heading1"/>
    <w:uiPriority w:val="9"/>
    <w:rsid w:val="00880127"/>
    <w:rPr>
      <w:rFonts w:asciiTheme="majorHAnsi" w:eastAsiaTheme="majorEastAsia" w:hAnsiTheme="majorHAnsi" w:cstheme="majorBidi"/>
      <w:bCs/>
      <w:color w:val="248F86" w:themeColor="accent2"/>
      <w:sz w:val="40"/>
      <w:szCs w:val="32"/>
    </w:rPr>
  </w:style>
  <w:style w:type="paragraph" w:customStyle="1" w:styleId="1ConvexHeadlineTitle">
    <w:name w:val="1. Convex Headline/Title"/>
    <w:qFormat/>
    <w:rsid w:val="00880127"/>
    <w:pPr>
      <w:adjustRightInd w:val="0"/>
      <w:snapToGrid w:val="0"/>
      <w:spacing w:after="440"/>
    </w:pPr>
    <w:rPr>
      <w:rFonts w:asciiTheme="majorHAnsi" w:eastAsiaTheme="majorEastAsia" w:hAnsiTheme="majorHAnsi" w:cstheme="majorBidi"/>
      <w:bCs/>
      <w:color w:val="248F86" w:themeColor="accent2"/>
      <w:sz w:val="64"/>
      <w:szCs w:val="32"/>
    </w:rPr>
  </w:style>
  <w:style w:type="paragraph" w:customStyle="1" w:styleId="2ConvexIntroPara">
    <w:name w:val="2. Convex Intro Para"/>
    <w:qFormat/>
    <w:rsid w:val="00880127"/>
    <w:pPr>
      <w:snapToGrid w:val="0"/>
      <w:spacing w:after="450"/>
    </w:pPr>
    <w:rPr>
      <w:color w:val="248F86" w:themeColor="accent2"/>
    </w:rPr>
  </w:style>
  <w:style w:type="paragraph" w:customStyle="1" w:styleId="3ConvexParaHeadings">
    <w:name w:val="3. Convex Para Headings"/>
    <w:qFormat/>
    <w:rsid w:val="00880127"/>
    <w:pPr>
      <w:snapToGrid w:val="0"/>
      <w:spacing w:before="240" w:after="120"/>
    </w:pPr>
    <w:rPr>
      <w:b/>
      <w:color w:val="248F86" w:themeColor="accent2"/>
      <w:sz w:val="22"/>
    </w:rPr>
  </w:style>
  <w:style w:type="paragraph" w:customStyle="1" w:styleId="4ConvexSubHeading">
    <w:name w:val="4. Convex Sub Heading"/>
    <w:qFormat/>
    <w:rsid w:val="00795614"/>
    <w:pPr>
      <w:snapToGrid w:val="0"/>
      <w:spacing w:after="60"/>
    </w:pPr>
    <w:rPr>
      <w:b/>
      <w:color w:val="242424" w:themeColor="text2"/>
      <w:sz w:val="20"/>
    </w:rPr>
  </w:style>
  <w:style w:type="paragraph" w:customStyle="1" w:styleId="5ConvexSubHeadwithinText">
    <w:name w:val="5. Convex Sub Head within Text"/>
    <w:qFormat/>
    <w:rsid w:val="00795614"/>
    <w:pPr>
      <w:snapToGrid w:val="0"/>
    </w:pPr>
    <w:rPr>
      <w:b/>
      <w:color w:val="242424" w:themeColor="text2"/>
      <w:sz w:val="18"/>
    </w:rPr>
  </w:style>
  <w:style w:type="paragraph" w:customStyle="1" w:styleId="6ConvexBodyCopy">
    <w:name w:val="6. Convex Body Copy"/>
    <w:basedOn w:val="Normal"/>
    <w:qFormat/>
    <w:rsid w:val="006C077D"/>
    <w:pPr>
      <w:snapToGrid w:val="0"/>
    </w:pPr>
    <w:rPr>
      <w:color w:val="000000" w:themeColor="text1"/>
    </w:rPr>
  </w:style>
  <w:style w:type="paragraph" w:customStyle="1" w:styleId="71ConvexBulletLAST">
    <w:name w:val="7.1 Convex Bullet LAST"/>
    <w:qFormat/>
    <w:rsid w:val="00880127"/>
    <w:pPr>
      <w:numPr>
        <w:numId w:val="31"/>
      </w:numPr>
      <w:snapToGrid w:val="0"/>
      <w:spacing w:after="170"/>
      <w:outlineLvl w:val="0"/>
    </w:pPr>
    <w:rPr>
      <w:color w:val="000000" w:themeColor="text1"/>
      <w:sz w:val="18"/>
    </w:rPr>
  </w:style>
  <w:style w:type="paragraph" w:customStyle="1" w:styleId="7ConvexBullets">
    <w:name w:val="7. Convex Bullets"/>
    <w:qFormat/>
    <w:rsid w:val="00880127"/>
    <w:pPr>
      <w:numPr>
        <w:numId w:val="22"/>
      </w:numPr>
      <w:snapToGrid w:val="0"/>
      <w:spacing w:after="60"/>
      <w:outlineLvl w:val="0"/>
    </w:pPr>
    <w:rPr>
      <w:color w:val="000000" w:themeColor="text1"/>
      <w:sz w:val="18"/>
    </w:rPr>
  </w:style>
  <w:style w:type="numbering" w:customStyle="1" w:styleId="ConvexBulletList">
    <w:name w:val="Convex Bullet List"/>
    <w:uiPriority w:val="99"/>
    <w:rsid w:val="006C077D"/>
    <w:pPr>
      <w:numPr>
        <w:numId w:val="24"/>
      </w:numPr>
    </w:pPr>
  </w:style>
  <w:style w:type="paragraph" w:customStyle="1" w:styleId="8ConvexPulloutQuote">
    <w:name w:val="8. Convex Pullout Quote"/>
    <w:qFormat/>
    <w:rsid w:val="00880127"/>
    <w:pPr>
      <w:snapToGrid w:val="0"/>
      <w:spacing w:after="60"/>
    </w:pPr>
    <w:rPr>
      <w:color w:val="248F86" w:themeColor="accent2"/>
      <w:sz w:val="22"/>
    </w:rPr>
  </w:style>
  <w:style w:type="paragraph" w:customStyle="1" w:styleId="81ConvexQuoteAuthor">
    <w:name w:val="8.1 Convex Quote Author"/>
    <w:qFormat/>
    <w:rsid w:val="00B3299C"/>
    <w:pPr>
      <w:snapToGrid w:val="0"/>
      <w:spacing w:after="220"/>
    </w:pPr>
    <w:rPr>
      <w:b/>
      <w:color w:val="242424" w:themeColor="text2"/>
      <w:sz w:val="18"/>
    </w:rPr>
  </w:style>
  <w:style w:type="character" w:styleId="PageNumber">
    <w:name w:val="page number"/>
    <w:basedOn w:val="DefaultParagraphFont"/>
    <w:uiPriority w:val="99"/>
    <w:semiHidden/>
    <w:unhideWhenUsed/>
    <w:rsid w:val="00642482"/>
  </w:style>
  <w:style w:type="paragraph" w:styleId="TOC1">
    <w:name w:val="toc 1"/>
    <w:basedOn w:val="Normal"/>
    <w:next w:val="Normal"/>
    <w:autoRedefine/>
    <w:uiPriority w:val="39"/>
    <w:unhideWhenUsed/>
    <w:rsid w:val="00994A40"/>
    <w:pPr>
      <w:tabs>
        <w:tab w:val="right" w:pos="7371"/>
      </w:tabs>
      <w:spacing w:before="240" w:after="60"/>
      <w:ind w:right="3969"/>
    </w:pPr>
    <w:rPr>
      <w:rFonts w:cstheme="minorHAnsi"/>
      <w:b/>
      <w:bCs/>
      <w:noProof/>
      <w:sz w:val="20"/>
      <w:szCs w:val="20"/>
    </w:rPr>
  </w:style>
  <w:style w:type="paragraph" w:styleId="TOC2">
    <w:name w:val="toc 2"/>
    <w:basedOn w:val="Normal"/>
    <w:next w:val="Normal"/>
    <w:autoRedefine/>
    <w:uiPriority w:val="39"/>
    <w:unhideWhenUsed/>
    <w:rsid w:val="00994A40"/>
    <w:pPr>
      <w:tabs>
        <w:tab w:val="right" w:pos="7371"/>
      </w:tabs>
      <w:spacing w:before="60" w:after="120"/>
      <w:ind w:right="4536"/>
    </w:pPr>
    <w:rPr>
      <w:rFonts w:cstheme="minorHAnsi"/>
      <w:iCs/>
      <w:sz w:val="20"/>
      <w:szCs w:val="20"/>
    </w:rPr>
  </w:style>
  <w:style w:type="paragraph" w:styleId="TOC3">
    <w:name w:val="toc 3"/>
    <w:basedOn w:val="Normal"/>
    <w:next w:val="Normal"/>
    <w:autoRedefine/>
    <w:uiPriority w:val="39"/>
    <w:unhideWhenUsed/>
    <w:rsid w:val="00994A40"/>
    <w:pPr>
      <w:tabs>
        <w:tab w:val="right" w:pos="7371"/>
      </w:tabs>
      <w:spacing w:before="120" w:after="60"/>
      <w:ind w:right="4536"/>
    </w:pPr>
    <w:rPr>
      <w:rFonts w:cstheme="minorHAnsi"/>
      <w:szCs w:val="20"/>
    </w:rPr>
  </w:style>
  <w:style w:type="paragraph" w:customStyle="1" w:styleId="9ConvexFooterText">
    <w:name w:val="9. Convex Footer Text"/>
    <w:qFormat/>
    <w:rsid w:val="006A60D0"/>
    <w:pPr>
      <w:snapToGrid w:val="0"/>
      <w:spacing w:after="80"/>
    </w:pPr>
    <w:rPr>
      <w:color w:val="FFFFFF" w:themeColor="background1"/>
      <w:sz w:val="12"/>
    </w:rPr>
  </w:style>
  <w:style w:type="character" w:customStyle="1" w:styleId="Heading2Char">
    <w:name w:val="Heading 2 Char"/>
    <w:basedOn w:val="DefaultParagraphFont"/>
    <w:link w:val="Heading2"/>
    <w:rsid w:val="00FD3F1B"/>
    <w:rPr>
      <w:rFonts w:asciiTheme="majorHAnsi" w:eastAsiaTheme="majorEastAsia" w:hAnsiTheme="majorHAnsi" w:cstheme="majorBidi"/>
      <w:color w:val="FFFFFF" w:themeColor="background2"/>
      <w:sz w:val="26"/>
      <w:szCs w:val="26"/>
    </w:rPr>
  </w:style>
  <w:style w:type="paragraph" w:styleId="Header">
    <w:name w:val="header"/>
    <w:basedOn w:val="Normal"/>
    <w:link w:val="HeaderChar"/>
    <w:unhideWhenUsed/>
    <w:rsid w:val="0039306F"/>
    <w:pPr>
      <w:tabs>
        <w:tab w:val="center" w:pos="4513"/>
        <w:tab w:val="right" w:pos="9026"/>
      </w:tabs>
      <w:spacing w:after="0"/>
    </w:pPr>
  </w:style>
  <w:style w:type="character" w:customStyle="1" w:styleId="HeaderChar">
    <w:name w:val="Header Char"/>
    <w:basedOn w:val="DefaultParagraphFont"/>
    <w:link w:val="Header"/>
    <w:rsid w:val="0039306F"/>
    <w:rPr>
      <w:sz w:val="18"/>
    </w:rPr>
  </w:style>
  <w:style w:type="paragraph" w:styleId="Footer">
    <w:name w:val="footer"/>
    <w:basedOn w:val="Normal"/>
    <w:link w:val="FooterChar"/>
    <w:uiPriority w:val="99"/>
    <w:unhideWhenUsed/>
    <w:rsid w:val="0039306F"/>
    <w:pPr>
      <w:tabs>
        <w:tab w:val="center" w:pos="4513"/>
        <w:tab w:val="right" w:pos="9026"/>
      </w:tabs>
      <w:spacing w:after="0"/>
    </w:pPr>
  </w:style>
  <w:style w:type="character" w:customStyle="1" w:styleId="FooterChar">
    <w:name w:val="Footer Char"/>
    <w:basedOn w:val="DefaultParagraphFont"/>
    <w:link w:val="Footer"/>
    <w:uiPriority w:val="99"/>
    <w:rsid w:val="0039306F"/>
    <w:rPr>
      <w:sz w:val="18"/>
    </w:rPr>
  </w:style>
  <w:style w:type="paragraph" w:customStyle="1" w:styleId="91ConvexBCCompanyNames">
    <w:name w:val="9.1 Convex BC Company Names"/>
    <w:basedOn w:val="Normal"/>
    <w:qFormat/>
    <w:rsid w:val="00225DB4"/>
    <w:pPr>
      <w:snapToGrid w:val="0"/>
      <w:spacing w:before="360" w:after="60"/>
    </w:pPr>
    <w:rPr>
      <w:b/>
      <w:bCs/>
      <w:color w:val="FFFFFF" w:themeColor="background1"/>
      <w:sz w:val="24"/>
    </w:rPr>
  </w:style>
  <w:style w:type="paragraph" w:customStyle="1" w:styleId="92ConvexBCCompanyAddress">
    <w:name w:val="9.2 Convex BC Company Address"/>
    <w:qFormat/>
    <w:rsid w:val="00111889"/>
    <w:rPr>
      <w:color w:val="FFFFFF" w:themeColor="background1"/>
      <w:sz w:val="20"/>
      <w:szCs w:val="20"/>
    </w:rPr>
  </w:style>
  <w:style w:type="paragraph" w:customStyle="1" w:styleId="93ConvexBCWebaddress">
    <w:name w:val="9.3 Convex BC Web address"/>
    <w:qFormat/>
    <w:rsid w:val="00880127"/>
    <w:pPr>
      <w:spacing w:before="240" w:after="170"/>
    </w:pPr>
    <w:rPr>
      <w:color w:val="83C7AF" w:themeColor="accent3"/>
      <w:sz w:val="20"/>
      <w:szCs w:val="20"/>
    </w:rPr>
  </w:style>
  <w:style w:type="numbering" w:customStyle="1" w:styleId="CurrentList1">
    <w:name w:val="Current List1"/>
    <w:uiPriority w:val="99"/>
    <w:rsid w:val="00880127"/>
    <w:pPr>
      <w:numPr>
        <w:numId w:val="36"/>
      </w:numPr>
    </w:pPr>
  </w:style>
  <w:style w:type="numbering" w:customStyle="1" w:styleId="CurrentList2">
    <w:name w:val="Current List2"/>
    <w:uiPriority w:val="99"/>
    <w:rsid w:val="00880127"/>
    <w:pPr>
      <w:numPr>
        <w:numId w:val="37"/>
      </w:numPr>
    </w:pPr>
  </w:style>
  <w:style w:type="table" w:styleId="TableGrid">
    <w:name w:val="Table Grid"/>
    <w:basedOn w:val="TableNormal"/>
    <w:uiPriority w:val="59"/>
    <w:rsid w:val="00CC54CA"/>
    <w:rPr>
      <w:rFonts w:ascii="Arial" w:eastAsia="Arial" w:hAnsi="Arial"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2ConvexTableHeading">
    <w:name w:val="6.2 Convex Table Heading"/>
    <w:basedOn w:val="61TableText"/>
    <w:qFormat/>
    <w:rsid w:val="00CC54CA"/>
    <w:rPr>
      <w:rFonts w:ascii="Arial" w:eastAsia="Arial" w:hAnsi="Arial" w:cs="Times New Roman"/>
      <w:b/>
      <w:bCs/>
      <w:color w:val="FFFFFF" w:themeColor="background1"/>
    </w:rPr>
  </w:style>
  <w:style w:type="paragraph" w:customStyle="1" w:styleId="63ConvexTablesub-Heading">
    <w:name w:val="6.3 Convex Table sub-Heading"/>
    <w:basedOn w:val="61TableText"/>
    <w:qFormat/>
    <w:rsid w:val="00CC54CA"/>
    <w:rPr>
      <w:rFonts w:ascii="Arial" w:eastAsia="Arial" w:hAnsi="Arial" w:cs="Times New Roman"/>
      <w:b/>
      <w:bCs/>
    </w:rPr>
  </w:style>
  <w:style w:type="table" w:customStyle="1" w:styleId="ConvexTable1">
    <w:name w:val="Convex Table 1"/>
    <w:basedOn w:val="TableNormal"/>
    <w:uiPriority w:val="99"/>
    <w:rsid w:val="00D82BA2"/>
    <w:tblPr/>
  </w:style>
  <w:style w:type="table" w:styleId="GridTable5Dark-Accent2">
    <w:name w:val="Grid Table 5 Dark Accent 2"/>
    <w:basedOn w:val="TableNormal"/>
    <w:uiPriority w:val="50"/>
    <w:rsid w:val="00D82BA2"/>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AF1EE"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48F8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48F8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48F8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48F86" w:themeFill="accent2"/>
      </w:tcPr>
    </w:tblStylePr>
    <w:tblStylePr w:type="band1Vert">
      <w:tblPr/>
      <w:tcPr>
        <w:shd w:val="clear" w:color="auto" w:fill="95E4DD" w:themeFill="accent2" w:themeFillTint="66"/>
      </w:tcPr>
    </w:tblStylePr>
    <w:tblStylePr w:type="band1Horz">
      <w:tblPr/>
      <w:tcPr>
        <w:shd w:val="clear" w:color="auto" w:fill="95E4DD" w:themeFill="accent2" w:themeFillTint="66"/>
      </w:tcPr>
    </w:tblStylePr>
  </w:style>
  <w:style w:type="table" w:styleId="ListTable3-Accent2">
    <w:name w:val="List Table 3 Accent 2"/>
    <w:basedOn w:val="TableNormal"/>
    <w:uiPriority w:val="48"/>
    <w:rsid w:val="00695D79"/>
    <w:tblPr>
      <w:tblStyleRowBandSize w:val="1"/>
      <w:tblStyleColBandSize w:val="1"/>
      <w:tblBorders>
        <w:top w:val="single" w:sz="4" w:space="0" w:color="248F86" w:themeColor="accent2"/>
        <w:left w:val="single" w:sz="4" w:space="0" w:color="248F86" w:themeColor="accent2"/>
        <w:bottom w:val="single" w:sz="4" w:space="0" w:color="248F86" w:themeColor="accent2"/>
        <w:right w:val="single" w:sz="4" w:space="0" w:color="248F86" w:themeColor="accent2"/>
      </w:tblBorders>
    </w:tblPr>
    <w:tblStylePr w:type="firstRow">
      <w:rPr>
        <w:b/>
        <w:bCs/>
        <w:color w:val="FFFFFF" w:themeColor="background1"/>
      </w:rPr>
      <w:tblPr/>
      <w:tcPr>
        <w:shd w:val="clear" w:color="auto" w:fill="248F86" w:themeFill="accent2"/>
      </w:tcPr>
    </w:tblStylePr>
    <w:tblStylePr w:type="lastRow">
      <w:rPr>
        <w:b/>
        <w:bCs/>
      </w:rPr>
      <w:tblPr/>
      <w:tcPr>
        <w:tcBorders>
          <w:top w:val="double" w:sz="4" w:space="0" w:color="248F8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48F86" w:themeColor="accent2"/>
          <w:right w:val="single" w:sz="4" w:space="0" w:color="248F86" w:themeColor="accent2"/>
        </w:tcBorders>
      </w:tcPr>
    </w:tblStylePr>
    <w:tblStylePr w:type="band1Horz">
      <w:tblPr/>
      <w:tcPr>
        <w:tcBorders>
          <w:top w:val="single" w:sz="4" w:space="0" w:color="248F86" w:themeColor="accent2"/>
          <w:bottom w:val="single" w:sz="4" w:space="0" w:color="248F8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48F86" w:themeColor="accent2"/>
          <w:left w:val="nil"/>
        </w:tcBorders>
      </w:tcPr>
    </w:tblStylePr>
    <w:tblStylePr w:type="swCell">
      <w:tblPr/>
      <w:tcPr>
        <w:tcBorders>
          <w:top w:val="double" w:sz="4" w:space="0" w:color="248F86" w:themeColor="accent2"/>
          <w:right w:val="nil"/>
        </w:tcBorders>
      </w:tcPr>
    </w:tblStylePr>
  </w:style>
  <w:style w:type="table" w:customStyle="1" w:styleId="ConvexBasicTable">
    <w:name w:val="Convex Basic Table"/>
    <w:basedOn w:val="ListTable3-Accent2"/>
    <w:uiPriority w:val="99"/>
    <w:rsid w:val="00E06D3B"/>
    <w:pPr>
      <w:spacing w:before="40" w:after="40"/>
      <w:ind w:left="113" w:right="113"/>
    </w:pPr>
    <w:rPr>
      <w:color w:val="000000" w:themeColor="text1"/>
      <w:sz w:val="18"/>
    </w:rPr>
    <w:tblPr>
      <w:tblBorders>
        <w:top w:val="single" w:sz="4" w:space="0" w:color="125049" w:themeColor="accent1"/>
        <w:left w:val="single" w:sz="4" w:space="0" w:color="125049" w:themeColor="accent1"/>
        <w:bottom w:val="single" w:sz="4" w:space="0" w:color="125049" w:themeColor="accent1"/>
        <w:right w:val="single" w:sz="4" w:space="0" w:color="125049" w:themeColor="accent1"/>
        <w:insideH w:val="single" w:sz="4" w:space="0" w:color="125049" w:themeColor="accent1"/>
        <w:insideV w:val="single" w:sz="4" w:space="0" w:color="125049" w:themeColor="accent1"/>
      </w:tblBorders>
      <w:tblCellMar>
        <w:top w:w="57" w:type="dxa"/>
        <w:left w:w="0" w:type="dxa"/>
        <w:bottom w:w="57" w:type="dxa"/>
        <w:right w:w="0" w:type="dxa"/>
      </w:tblCellMar>
    </w:tblPr>
    <w:tblStylePr w:type="firstRow">
      <w:pPr>
        <w:jc w:val="left"/>
      </w:pPr>
      <w:rPr>
        <w:rFonts w:asciiTheme="minorHAnsi" w:hAnsiTheme="minorHAnsi"/>
        <w:b/>
        <w:bCs/>
        <w:color w:val="FFFFFF" w:themeColor="background1"/>
      </w:rPr>
      <w:tblPr/>
      <w:tcPr>
        <w:tcBorders>
          <w:top w:val="single" w:sz="4" w:space="0" w:color="248F86" w:themeColor="accent2"/>
          <w:left w:val="single" w:sz="4" w:space="0" w:color="248F86" w:themeColor="accent2"/>
          <w:bottom w:val="single" w:sz="4" w:space="0" w:color="248F86" w:themeColor="accent2"/>
          <w:right w:val="single" w:sz="4" w:space="0" w:color="248F86" w:themeColor="accent2"/>
          <w:insideV w:val="single" w:sz="4" w:space="0" w:color="FFFFFF" w:themeColor="background1"/>
        </w:tcBorders>
        <w:shd w:val="clear" w:color="auto" w:fill="248F86" w:themeFill="accent2"/>
      </w:tcPr>
    </w:tblStylePr>
    <w:tblStylePr w:type="lastRow">
      <w:rPr>
        <w:rFonts w:asciiTheme="minorHAnsi" w:hAnsiTheme="minorHAnsi"/>
        <w:b w:val="0"/>
        <w:bCs/>
        <w:color w:val="000000" w:themeColor="text1"/>
      </w:rPr>
      <w:tblPr/>
      <w:tcPr>
        <w:tcBorders>
          <w:top w:val="single" w:sz="4" w:space="0" w:color="125049" w:themeColor="accent1"/>
          <w:left w:val="single" w:sz="4" w:space="0" w:color="125049" w:themeColor="accent1"/>
          <w:bottom w:val="single" w:sz="4" w:space="0" w:color="125049" w:themeColor="accent1"/>
          <w:right w:val="single" w:sz="4" w:space="0" w:color="125049" w:themeColor="accent1"/>
          <w:insideH w:val="single" w:sz="4" w:space="0" w:color="125049" w:themeColor="accent1"/>
          <w:insideV w:val="single" w:sz="4" w:space="0" w:color="125049" w:themeColor="accent1"/>
        </w:tcBorders>
        <w:shd w:val="clear" w:color="auto" w:fill="FFFFFF" w:themeFill="background1"/>
      </w:tcPr>
    </w:tblStylePr>
    <w:tblStylePr w:type="firstCol">
      <w:rPr>
        <w:rFonts w:asciiTheme="minorHAnsi" w:hAnsiTheme="minorHAnsi"/>
        <w:b w:val="0"/>
        <w:bCs/>
        <w:color w:val="000000" w:themeColor="text1"/>
        <w:sz w:val="18"/>
      </w:rPr>
      <w:tblPr/>
      <w:tcPr>
        <w:tcBorders>
          <w:right w:val="nil"/>
        </w:tcBorders>
        <w:shd w:val="clear" w:color="auto" w:fill="FFFFFF" w:themeFill="background1"/>
      </w:tcPr>
    </w:tblStylePr>
    <w:tblStylePr w:type="lastCol">
      <w:rPr>
        <w:rFonts w:asciiTheme="minorHAnsi" w:hAnsiTheme="minorHAnsi"/>
        <w:b w:val="0"/>
        <w:bCs/>
        <w:color w:val="000000" w:themeColor="text1"/>
      </w:rPr>
      <w:tblPr/>
      <w:tcPr>
        <w:tcBorders>
          <w:top w:val="single" w:sz="4" w:space="0" w:color="248F86" w:themeColor="accent2"/>
          <w:left w:val="nil"/>
          <w:insideH w:val="single" w:sz="4" w:space="0" w:color="125049" w:themeColor="accent1"/>
          <w:insideV w:val="single" w:sz="4" w:space="0" w:color="125049" w:themeColor="accent1"/>
        </w:tcBorders>
        <w:shd w:val="clear" w:color="auto" w:fill="FFFFFF" w:themeFill="background1"/>
      </w:tcPr>
    </w:tblStylePr>
    <w:tblStylePr w:type="band1Vert">
      <w:tblPr/>
      <w:tcPr>
        <w:tcBorders>
          <w:left w:val="single" w:sz="4" w:space="0" w:color="248F86" w:themeColor="accent2"/>
          <w:right w:val="single" w:sz="4" w:space="0" w:color="248F86" w:themeColor="accent2"/>
        </w:tcBorders>
      </w:tcPr>
    </w:tblStylePr>
    <w:tblStylePr w:type="band1Horz">
      <w:tblPr/>
      <w:tcPr>
        <w:tcBorders>
          <w:top w:val="single" w:sz="4" w:space="0" w:color="248F86" w:themeColor="accent2"/>
          <w:bottom w:val="single" w:sz="4" w:space="0" w:color="248F86" w:themeColor="accent2"/>
          <w:insideH w:val="nil"/>
        </w:tcBorders>
      </w:tcPr>
    </w:tblStylePr>
    <w:tblStylePr w:type="neCell">
      <w:tblPr/>
      <w:tcPr>
        <w:tcBorders>
          <w:left w:val="nil"/>
          <w:bottom w:val="nil"/>
        </w:tcBorders>
      </w:tcPr>
    </w:tblStylePr>
    <w:tblStylePr w:type="nwCell">
      <w:rPr>
        <w:rFonts w:asciiTheme="minorHAnsi" w:hAnsiTheme="minorHAnsi"/>
        <w:b/>
        <w:color w:val="F2F2F2" w:themeColor="background1" w:themeShade="F2"/>
        <w:sz w:val="18"/>
      </w:rPr>
      <w:tblPr/>
      <w:tcPr>
        <w:tcBorders>
          <w:bottom w:val="nil"/>
          <w:right w:val="nil"/>
        </w:tcBorders>
      </w:tcPr>
    </w:tblStylePr>
    <w:tblStylePr w:type="seCell">
      <w:rPr>
        <w:rFonts w:asciiTheme="minorHAnsi" w:hAnsiTheme="minorHAnsi"/>
      </w:rPr>
      <w:tblPr/>
      <w:tcPr>
        <w:tcBorders>
          <w:top w:val="nil"/>
          <w:left w:val="nil"/>
        </w:tcBorders>
      </w:tcPr>
    </w:tblStylePr>
    <w:tblStylePr w:type="swCell">
      <w:rPr>
        <w:rFonts w:asciiTheme="minorHAnsi" w:hAnsiTheme="minorHAnsi"/>
      </w:rPr>
      <w:tblPr/>
      <w:tcPr>
        <w:tcBorders>
          <w:top w:val="nil"/>
          <w:right w:val="nil"/>
        </w:tcBorders>
      </w:tcPr>
    </w:tblStylePr>
  </w:style>
  <w:style w:type="table" w:customStyle="1" w:styleId="ConvexBasicTable2">
    <w:name w:val="Convex Basic Table 2"/>
    <w:basedOn w:val="ConvexBasicTable"/>
    <w:uiPriority w:val="99"/>
    <w:rsid w:val="00E06D3B"/>
    <w:rPr>
      <w:b/>
      <w:color w:val="FFFFFF" w:themeColor="background1"/>
    </w:rPr>
    <w:tblPr/>
    <w:tblStylePr w:type="firstRow">
      <w:pPr>
        <w:jc w:val="left"/>
      </w:pPr>
      <w:rPr>
        <w:rFonts w:asciiTheme="minorHAnsi" w:hAnsiTheme="minorHAnsi"/>
        <w:b/>
        <w:bCs/>
        <w:color w:val="FFFFFF" w:themeColor="background1"/>
      </w:rPr>
      <w:tblPr/>
      <w:tcPr>
        <w:tcBorders>
          <w:top w:val="single" w:sz="4" w:space="0" w:color="248F86" w:themeColor="accent2"/>
          <w:left w:val="single" w:sz="4" w:space="0" w:color="248F86" w:themeColor="accent2"/>
          <w:bottom w:val="single" w:sz="4" w:space="0" w:color="248F86" w:themeColor="accent2"/>
          <w:right w:val="single" w:sz="4" w:space="0" w:color="248F86" w:themeColor="accent2"/>
          <w:insideV w:val="single" w:sz="4" w:space="0" w:color="FFFFFF" w:themeColor="background1"/>
        </w:tcBorders>
        <w:shd w:val="clear" w:color="auto" w:fill="248F86" w:themeFill="accent2"/>
      </w:tcPr>
    </w:tblStylePr>
    <w:tblStylePr w:type="lastRow">
      <w:rPr>
        <w:rFonts w:asciiTheme="minorHAnsi" w:hAnsiTheme="minorHAnsi"/>
        <w:b w:val="0"/>
        <w:bCs/>
        <w:color w:val="000000" w:themeColor="text1"/>
      </w:rPr>
      <w:tblPr/>
      <w:tcPr>
        <w:tcBorders>
          <w:top w:val="single" w:sz="4" w:space="0" w:color="125049" w:themeColor="accent1"/>
          <w:left w:val="single" w:sz="4" w:space="0" w:color="125049" w:themeColor="accent1"/>
          <w:bottom w:val="single" w:sz="4" w:space="0" w:color="125049" w:themeColor="accent1"/>
          <w:right w:val="single" w:sz="4" w:space="0" w:color="125049" w:themeColor="accent1"/>
          <w:insideH w:val="single" w:sz="4" w:space="0" w:color="125049" w:themeColor="accent1"/>
          <w:insideV w:val="single" w:sz="4" w:space="0" w:color="125049" w:themeColor="accent1"/>
        </w:tcBorders>
        <w:shd w:val="clear" w:color="auto" w:fill="FFFFFF" w:themeFill="background1"/>
      </w:tcPr>
    </w:tblStylePr>
    <w:tblStylePr w:type="firstCol">
      <w:rPr>
        <w:rFonts w:asciiTheme="minorHAnsi" w:hAnsiTheme="minorHAnsi"/>
        <w:b/>
        <w:bCs/>
        <w:color w:val="000000" w:themeColor="text1"/>
        <w:sz w:val="18"/>
      </w:rPr>
      <w:tblPr/>
      <w:tcPr>
        <w:tcBorders>
          <w:right w:val="nil"/>
        </w:tcBorders>
        <w:shd w:val="clear" w:color="auto" w:fill="CDE8DF"/>
      </w:tcPr>
    </w:tblStylePr>
    <w:tblStylePr w:type="lastCol">
      <w:rPr>
        <w:rFonts w:asciiTheme="minorHAnsi" w:hAnsiTheme="minorHAnsi"/>
        <w:b w:val="0"/>
        <w:bCs/>
        <w:color w:val="000000" w:themeColor="text1"/>
      </w:rPr>
      <w:tblPr/>
      <w:tcPr>
        <w:tcBorders>
          <w:top w:val="single" w:sz="4" w:space="0" w:color="248F86" w:themeColor="accent2"/>
          <w:left w:val="nil"/>
          <w:insideH w:val="single" w:sz="4" w:space="0" w:color="125049" w:themeColor="accent1"/>
          <w:insideV w:val="single" w:sz="4" w:space="0" w:color="125049" w:themeColor="accent1"/>
        </w:tcBorders>
        <w:shd w:val="clear" w:color="auto" w:fill="FFFFFF" w:themeFill="background1"/>
      </w:tcPr>
    </w:tblStylePr>
    <w:tblStylePr w:type="band1Vert">
      <w:tblPr/>
      <w:tcPr>
        <w:tcBorders>
          <w:left w:val="single" w:sz="4" w:space="0" w:color="248F86" w:themeColor="accent2"/>
          <w:right w:val="single" w:sz="4" w:space="0" w:color="248F86" w:themeColor="accent2"/>
        </w:tcBorders>
      </w:tcPr>
    </w:tblStylePr>
    <w:tblStylePr w:type="band1Horz">
      <w:tblPr/>
      <w:tcPr>
        <w:tcBorders>
          <w:top w:val="single" w:sz="4" w:space="0" w:color="248F86" w:themeColor="accent2"/>
          <w:bottom w:val="single" w:sz="4" w:space="0" w:color="248F86" w:themeColor="accent2"/>
          <w:insideH w:val="nil"/>
        </w:tcBorders>
      </w:tcPr>
    </w:tblStylePr>
    <w:tblStylePr w:type="neCell">
      <w:tblPr/>
      <w:tcPr>
        <w:tcBorders>
          <w:left w:val="nil"/>
          <w:bottom w:val="nil"/>
        </w:tcBorders>
      </w:tcPr>
    </w:tblStylePr>
    <w:tblStylePr w:type="nwCell">
      <w:rPr>
        <w:rFonts w:asciiTheme="minorHAnsi" w:hAnsiTheme="minorHAnsi"/>
        <w:b/>
        <w:color w:val="FFFFFF" w:themeColor="background1"/>
        <w:sz w:val="18"/>
      </w:rPr>
      <w:tblPr/>
      <w:tcPr>
        <w:tcBorders>
          <w:bottom w:val="nil"/>
          <w:right w:val="nil"/>
        </w:tcBorders>
      </w:tcPr>
    </w:tblStylePr>
    <w:tblStylePr w:type="seCell">
      <w:rPr>
        <w:rFonts w:asciiTheme="minorHAnsi" w:hAnsiTheme="minorHAnsi"/>
      </w:rPr>
      <w:tblPr/>
      <w:tcPr>
        <w:tcBorders>
          <w:top w:val="nil"/>
          <w:left w:val="nil"/>
        </w:tcBorders>
      </w:tcPr>
    </w:tblStylePr>
    <w:tblStylePr w:type="swCell">
      <w:rPr>
        <w:rFonts w:asciiTheme="minorHAnsi" w:hAnsiTheme="minorHAnsi"/>
        <w:b/>
      </w:rPr>
      <w:tblPr/>
      <w:tcPr>
        <w:tcBorders>
          <w:top w:val="nil"/>
          <w:right w:val="nil"/>
        </w:tcBorders>
        <w:shd w:val="clear" w:color="auto" w:fill="CDE8DF"/>
      </w:tcPr>
    </w:tblStylePr>
  </w:style>
  <w:style w:type="table" w:customStyle="1" w:styleId="ConvexBasicTable3">
    <w:name w:val="Convex Basic Table 3"/>
    <w:basedOn w:val="TableNormal"/>
    <w:uiPriority w:val="99"/>
    <w:rsid w:val="00F35453"/>
    <w:pPr>
      <w:spacing w:before="40" w:after="40"/>
      <w:ind w:left="113" w:right="113"/>
    </w:pPr>
    <w:rPr>
      <w:color w:val="000000" w:themeColor="text1"/>
      <w:sz w:val="18"/>
      <w:szCs w:val="20"/>
      <w:lang w:eastAsia="en-GB"/>
    </w:rPr>
    <w:tblPr>
      <w:tblStyleRowBandSize w:val="1"/>
      <w:tblStyleColBandSize w:val="1"/>
      <w:tblBorders>
        <w:top w:val="single" w:sz="4" w:space="0" w:color="125049" w:themeColor="accent1"/>
        <w:bottom w:val="single" w:sz="4" w:space="0" w:color="125049" w:themeColor="accent1"/>
        <w:right w:val="single" w:sz="4" w:space="0" w:color="125049" w:themeColor="accent1"/>
        <w:insideH w:val="single" w:sz="4" w:space="0" w:color="125049" w:themeColor="accent1"/>
        <w:insideV w:val="single" w:sz="4" w:space="0" w:color="125049" w:themeColor="accent1"/>
      </w:tblBorders>
      <w:tblCellMar>
        <w:top w:w="57" w:type="dxa"/>
        <w:left w:w="0" w:type="dxa"/>
        <w:bottom w:w="57" w:type="dxa"/>
        <w:right w:w="0" w:type="dxa"/>
      </w:tblCellMar>
    </w:tblPr>
    <w:tblStylePr w:type="firstRow">
      <w:pPr>
        <w:jc w:val="left"/>
      </w:pPr>
      <w:rPr>
        <w:rFonts w:asciiTheme="minorHAnsi" w:hAnsiTheme="minorHAnsi"/>
        <w:b w:val="0"/>
        <w:bCs/>
        <w:color w:val="FFFFFF" w:themeColor="background1"/>
      </w:rPr>
    </w:tblStylePr>
    <w:tblStylePr w:type="lastRow">
      <w:rPr>
        <w:rFonts w:asciiTheme="minorHAnsi" w:hAnsiTheme="minorHAnsi"/>
        <w:b w:val="0"/>
        <w:bCs/>
        <w:color w:val="000000" w:themeColor="text1"/>
      </w:rPr>
      <w:tblPr/>
      <w:tcPr>
        <w:tcBorders>
          <w:top w:val="single" w:sz="4" w:space="0" w:color="125049" w:themeColor="accent1"/>
          <w:left w:val="single" w:sz="4" w:space="0" w:color="125049" w:themeColor="accent1"/>
          <w:bottom w:val="single" w:sz="4" w:space="0" w:color="125049" w:themeColor="accent1"/>
          <w:right w:val="single" w:sz="4" w:space="0" w:color="125049" w:themeColor="accent1"/>
          <w:insideH w:val="single" w:sz="4" w:space="0" w:color="125049" w:themeColor="accent1"/>
          <w:insideV w:val="single" w:sz="4" w:space="0" w:color="125049" w:themeColor="accent1"/>
        </w:tcBorders>
        <w:shd w:val="clear" w:color="auto" w:fill="FFFFFF" w:themeFill="background1"/>
      </w:tcPr>
    </w:tblStylePr>
    <w:tblStylePr w:type="firstCol">
      <w:rPr>
        <w:rFonts w:asciiTheme="minorHAnsi" w:hAnsiTheme="minorHAnsi"/>
        <w:b/>
        <w:bCs/>
        <w:color w:val="FFFFFF" w:themeColor="background2"/>
        <w:sz w:val="18"/>
      </w:rPr>
      <w:tblPr/>
      <w:tcPr>
        <w:tcBorders>
          <w:top w:val="single" w:sz="4" w:space="0" w:color="248F86" w:themeColor="accent2"/>
          <w:right w:val="nil"/>
          <w:insideH w:val="single" w:sz="4" w:space="0" w:color="FFFFFF" w:themeColor="background2"/>
        </w:tcBorders>
        <w:shd w:val="clear" w:color="auto" w:fill="248F86" w:themeFill="accent2"/>
      </w:tcPr>
    </w:tblStylePr>
    <w:tblStylePr w:type="lastCol">
      <w:rPr>
        <w:rFonts w:asciiTheme="minorHAnsi" w:hAnsiTheme="minorHAnsi"/>
        <w:b w:val="0"/>
        <w:bCs/>
        <w:color w:val="000000" w:themeColor="text1"/>
      </w:rPr>
      <w:tblPr/>
      <w:tcPr>
        <w:tcBorders>
          <w:top w:val="single" w:sz="4" w:space="0" w:color="248F86" w:themeColor="accent2"/>
          <w:left w:val="nil"/>
          <w:insideH w:val="single" w:sz="4" w:space="0" w:color="125049" w:themeColor="accent1"/>
          <w:insideV w:val="single" w:sz="4" w:space="0" w:color="125049" w:themeColor="accent1"/>
        </w:tcBorders>
        <w:shd w:val="clear" w:color="auto" w:fill="FFFFFF" w:themeFill="background1"/>
      </w:tcPr>
    </w:tblStylePr>
    <w:tblStylePr w:type="band1Vert">
      <w:tblPr/>
      <w:tcPr>
        <w:tcBorders>
          <w:left w:val="single" w:sz="4" w:space="0" w:color="248F86" w:themeColor="accent2"/>
          <w:right w:val="single" w:sz="4" w:space="0" w:color="248F86" w:themeColor="accent2"/>
        </w:tcBorders>
      </w:tcPr>
    </w:tblStylePr>
    <w:tblStylePr w:type="band1Horz">
      <w:tblPr/>
      <w:tcPr>
        <w:tcBorders>
          <w:top w:val="single" w:sz="4" w:space="0" w:color="248F86" w:themeColor="accent2"/>
          <w:bottom w:val="single" w:sz="4" w:space="0" w:color="248F86" w:themeColor="accent2"/>
          <w:insideH w:val="nil"/>
        </w:tcBorders>
      </w:tcPr>
    </w:tblStylePr>
    <w:tblStylePr w:type="neCell">
      <w:tblPr/>
      <w:tcPr>
        <w:tcBorders>
          <w:left w:val="nil"/>
          <w:bottom w:val="nil"/>
        </w:tcBorders>
      </w:tcPr>
    </w:tblStylePr>
    <w:tblStylePr w:type="nwCell">
      <w:rPr>
        <w:rFonts w:asciiTheme="minorHAnsi" w:hAnsiTheme="minorHAnsi"/>
        <w:b/>
        <w:color w:val="FFFFFF" w:themeColor="background1"/>
        <w:sz w:val="18"/>
      </w:rPr>
      <w:tblPr/>
      <w:tcPr>
        <w:tcBorders>
          <w:bottom w:val="nil"/>
          <w:right w:val="nil"/>
        </w:tcBorders>
      </w:tcPr>
    </w:tblStylePr>
    <w:tblStylePr w:type="seCell">
      <w:rPr>
        <w:rFonts w:asciiTheme="minorHAnsi" w:hAnsiTheme="minorHAnsi"/>
      </w:rPr>
      <w:tblPr/>
      <w:tcPr>
        <w:tcBorders>
          <w:top w:val="nil"/>
          <w:left w:val="nil"/>
        </w:tcBorders>
      </w:tcPr>
    </w:tblStylePr>
    <w:tblStylePr w:type="swCell">
      <w:rPr>
        <w:rFonts w:asciiTheme="minorHAnsi" w:hAnsiTheme="minorHAnsi"/>
        <w:b/>
        <w:color w:val="FFFFFF" w:themeColor="background2"/>
      </w:rPr>
      <w:tblPr/>
      <w:tcPr>
        <w:tcBorders>
          <w:top w:val="nil"/>
          <w:left w:val="nil"/>
          <w:bottom w:val="single" w:sz="4" w:space="0" w:color="248F86" w:themeColor="accent2"/>
          <w:right w:val="nil"/>
          <w:insideH w:val="nil"/>
        </w:tcBorders>
        <w:shd w:val="clear" w:color="auto" w:fill="248F86" w:themeFill="accent2"/>
      </w:tcPr>
    </w:tblStylePr>
  </w:style>
  <w:style w:type="table" w:customStyle="1" w:styleId="TableGrid1">
    <w:name w:val="Table Grid1"/>
    <w:basedOn w:val="TableNormal"/>
    <w:next w:val="TableGrid"/>
    <w:rsid w:val="00483A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A213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8574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acy.desborough/Downloads/Convex%20Group%205/UK/Convex%20Group%20A4%202024%20Word%20Template%201%20col%20NO%20FC.dotx" TargetMode="External"/></Relationships>
</file>

<file path=word/theme/theme1.xml><?xml version="1.0" encoding="utf-8"?>
<a:theme xmlns:a="http://schemas.openxmlformats.org/drawingml/2006/main" name="Convex Final_09_19">
  <a:themeElements>
    <a:clrScheme name="Convex New Colours 2022">
      <a:dk1>
        <a:srgbClr val="000000"/>
      </a:dk1>
      <a:lt1>
        <a:srgbClr val="FFFFFF"/>
      </a:lt1>
      <a:dk2>
        <a:srgbClr val="242424"/>
      </a:dk2>
      <a:lt2>
        <a:srgbClr val="FFFFFF"/>
      </a:lt2>
      <a:accent1>
        <a:srgbClr val="125049"/>
      </a:accent1>
      <a:accent2>
        <a:srgbClr val="248F86"/>
      </a:accent2>
      <a:accent3>
        <a:srgbClr val="83C7AF"/>
      </a:accent3>
      <a:accent4>
        <a:srgbClr val="E52733"/>
      </a:accent4>
      <a:accent5>
        <a:srgbClr val="223259"/>
      </a:accent5>
      <a:accent6>
        <a:srgbClr val="00A6C3"/>
      </a:accent6>
      <a:hlink>
        <a:srgbClr val="248F86"/>
      </a:hlink>
      <a:folHlink>
        <a:srgbClr val="248F86"/>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Convex Final_09_19" id="{88A37C12-4F0A-D94B-B216-C406668AC276}" vid="{CE7843CF-2994-FB44-9606-2C36B14A27D9}"/>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D7CB05-0680-0045-876A-9106D5634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Convex Group A4 2024 Word Template 1 col NO FC.dotx</Template>
  <TotalTime>1</TotalTime>
  <Pages>8</Pages>
  <Words>1289</Words>
  <Characters>7352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John Brady</cp:lastModifiedBy>
  <cp:revision>3</cp:revision>
  <dcterms:created xsi:type="dcterms:W3CDTF">2025-05-23T09:08:00Z</dcterms:created>
  <dcterms:modified xsi:type="dcterms:W3CDTF">2025-05-23T09:08:00Z</dcterms:modified>
</cp:coreProperties>
</file>